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0AB93568"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7E700B">
        <w:rPr>
          <w:rFonts w:cs="Courier New"/>
          <w:sz w:val="24"/>
          <w:szCs w:val="24"/>
          <w:lang w:val="de-DE"/>
        </w:rPr>
        <w:t>6bis</w:t>
      </w:r>
      <w:r w:rsidR="004E6A15">
        <w:rPr>
          <w:rFonts w:cs="Courier New"/>
          <w:sz w:val="24"/>
          <w:szCs w:val="24"/>
          <w:lang w:val="de-DE"/>
        </w:rPr>
        <w:tab/>
      </w:r>
      <w:r w:rsidR="004E6A15" w:rsidRPr="004E6A15">
        <w:rPr>
          <w:rFonts w:cs="Courier New"/>
          <w:sz w:val="24"/>
          <w:szCs w:val="24"/>
          <w:lang w:val="de-DE"/>
        </w:rPr>
        <w:t>R4-1</w:t>
      </w:r>
      <w:r w:rsidR="007E700B">
        <w:rPr>
          <w:rFonts w:cs="Courier New"/>
          <w:sz w:val="24"/>
          <w:szCs w:val="24"/>
          <w:lang w:val="de-DE"/>
        </w:rPr>
        <w:t>80</w:t>
      </w:r>
      <w:r w:rsidR="003D6099">
        <w:rPr>
          <w:rFonts w:cs="Courier New"/>
          <w:sz w:val="24"/>
          <w:szCs w:val="24"/>
          <w:lang w:val="de-DE"/>
        </w:rPr>
        <w:t>4659</w:t>
      </w:r>
    </w:p>
    <w:p w14:paraId="7E429E56" w14:textId="77777777" w:rsidR="003D6099" w:rsidRDefault="003D6099" w:rsidP="003D6099">
      <w:pPr>
        <w:pStyle w:val="Header"/>
        <w:jc w:val="both"/>
        <w:rPr>
          <w:rFonts w:cs="Courier New"/>
          <w:sz w:val="24"/>
          <w:szCs w:val="24"/>
        </w:rPr>
      </w:pPr>
      <w:r>
        <w:rPr>
          <w:rFonts w:cs="Courier New"/>
          <w:sz w:val="24"/>
          <w:szCs w:val="24"/>
        </w:rPr>
        <w:t>Melbourne, AU,</w:t>
      </w:r>
      <w:r w:rsidRPr="00BB2C23">
        <w:rPr>
          <w:rFonts w:cs="Courier New"/>
          <w:sz w:val="24"/>
          <w:szCs w:val="24"/>
        </w:rPr>
        <w:t xml:space="preserve"> </w:t>
      </w:r>
      <w:r>
        <w:rPr>
          <w:rFonts w:cs="Courier New"/>
          <w:sz w:val="24"/>
          <w:szCs w:val="24"/>
        </w:rPr>
        <w:t>April 16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20</w:t>
      </w:r>
      <w:r w:rsidRPr="00F134A6">
        <w:rPr>
          <w:rFonts w:cs="Courier New"/>
          <w:sz w:val="24"/>
          <w:szCs w:val="24"/>
          <w:vertAlign w:val="superscript"/>
        </w:rPr>
        <w:t>th</w:t>
      </w:r>
      <w:r>
        <w:rPr>
          <w:rFonts w:cs="Courier New"/>
          <w:sz w:val="24"/>
          <w:szCs w:val="24"/>
        </w:rPr>
        <w:t>, 2018</w:t>
      </w:r>
    </w:p>
    <w:p w14:paraId="265D6182" w14:textId="77777777" w:rsidR="007E700B" w:rsidRPr="00F56E56" w:rsidRDefault="007E700B"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498E3DF2"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E700B">
        <w:rPr>
          <w:rFonts w:ascii="Arial" w:hAnsi="Arial"/>
          <w:sz w:val="24"/>
          <w:lang w:val="en-US"/>
        </w:rPr>
        <w:t>7.4.8.9</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5868548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700B">
        <w:rPr>
          <w:rFonts w:ascii="Arial" w:hAnsi="Arial"/>
          <w:sz w:val="24"/>
          <w:lang w:val="en-US"/>
        </w:rPr>
        <w:t xml:space="preserve">UE power back-off for protection of </w:t>
      </w:r>
      <w:r w:rsidR="00545241">
        <w:rPr>
          <w:rFonts w:ascii="Arial" w:hAnsi="Arial"/>
          <w:sz w:val="24"/>
          <w:lang w:val="en-US"/>
        </w:rPr>
        <w:t>passive services</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3C503B00" w14:textId="709CE57C" w:rsidR="00D85C68" w:rsidRPr="00A23B5A" w:rsidRDefault="00545241" w:rsidP="00D85C68">
      <w:pPr>
        <w:jc w:val="both"/>
        <w:rPr>
          <w:b/>
        </w:rPr>
      </w:pPr>
      <w:r>
        <w:t xml:space="preserve">In this contribution we focus on the additional spurious emission requirements needed to protect passive services operating in </w:t>
      </w:r>
      <w:proofErr w:type="spellStart"/>
      <w:r>
        <w:t>millimiter</w:t>
      </w:r>
      <w:proofErr w:type="spellEnd"/>
      <w:r>
        <w:t xml:space="preserve"> (</w:t>
      </w:r>
      <w:proofErr w:type="spellStart"/>
      <w:r>
        <w:t>mmW</w:t>
      </w:r>
      <w:proofErr w:type="spellEnd"/>
      <w:r>
        <w:t xml:space="preserve">) frequency ranges. </w:t>
      </w:r>
      <w:r w:rsidR="007E700B">
        <w:t xml:space="preserve">In this paper we refine our analysis presented in </w:t>
      </w:r>
      <w:r w:rsidR="007E700B">
        <w:fldChar w:fldCharType="begin"/>
      </w:r>
      <w:r w:rsidR="007E700B">
        <w:instrText xml:space="preserve"> REF _Ref510622279 \r \h </w:instrText>
      </w:r>
      <w:r w:rsidR="007E700B">
        <w:fldChar w:fldCharType="separate"/>
      </w:r>
      <w:r w:rsidR="00ED000E">
        <w:t>[1]</w:t>
      </w:r>
      <w:r w:rsidR="007E700B">
        <w:fldChar w:fldCharType="end"/>
      </w:r>
      <w:r w:rsidR="007E700B">
        <w:t xml:space="preserve"> and we</w:t>
      </w:r>
      <w:r>
        <w:t xml:space="preserve"> estimate the amount of power reduction needed to meet -</w:t>
      </w:r>
      <w:r w:rsidR="007E700B">
        <w:t>8</w:t>
      </w:r>
      <w:r>
        <w:t xml:space="preserve">dBm/200MHz emission level over the passive bands.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C93441F" w14:textId="5C4DCBC4" w:rsidR="00545241" w:rsidRPr="00C36BC7" w:rsidRDefault="007E700B" w:rsidP="002E6767">
      <w:pPr>
        <w:jc w:val="both"/>
        <w:rPr>
          <w:lang w:val="en-US"/>
        </w:rPr>
      </w:pPr>
      <w:r w:rsidRPr="007E700B">
        <w:rPr>
          <w:lang w:val="en-US"/>
        </w:rPr>
        <w:t>Regulator</w:t>
      </w:r>
      <w:r>
        <w:rPr>
          <w:lang w:val="en-US"/>
        </w:rPr>
        <w:t>s around the world are defining emission requirements to protect satellite passive services</w:t>
      </w:r>
      <w:r w:rsidR="00545241">
        <w:rPr>
          <w:lang w:val="en-US"/>
        </w:rPr>
        <w:t xml:space="preserve"> (e.g. EESS passive)</w:t>
      </w:r>
      <w:r>
        <w:rPr>
          <w:lang w:val="en-US"/>
        </w:rPr>
        <w:t>. The following list</w:t>
      </w:r>
      <w:r w:rsidR="00545241">
        <w:rPr>
          <w:lang w:val="en-US"/>
        </w:rPr>
        <w:t xml:space="preserve"> shows </w:t>
      </w:r>
      <w:r w:rsidR="00ED000E">
        <w:rPr>
          <w:lang w:val="en-US"/>
        </w:rPr>
        <w:t xml:space="preserve">the </w:t>
      </w:r>
      <w:r w:rsidR="00545241">
        <w:rPr>
          <w:lang w:val="en-US"/>
        </w:rPr>
        <w:t>band</w:t>
      </w:r>
      <w:r w:rsidR="00ED000E">
        <w:rPr>
          <w:lang w:val="en-US"/>
        </w:rPr>
        <w:t>s</w:t>
      </w:r>
      <w:r w:rsidR="00545241">
        <w:rPr>
          <w:lang w:val="en-US"/>
        </w:rPr>
        <w:t xml:space="preserve"> of operation of passive services and corresponding reference bandwidth to be studies:</w:t>
      </w:r>
      <w:r w:rsidR="00545241" w:rsidRPr="00C36BC7">
        <w:rPr>
          <w:lang w:val="en-US"/>
        </w:rPr>
        <w:t xml:space="preserve"> </w:t>
      </w:r>
    </w:p>
    <w:p w14:paraId="48A9387F" w14:textId="77777777" w:rsidR="00545241" w:rsidRPr="00C36BC7" w:rsidRDefault="00545241" w:rsidP="002E6767">
      <w:pPr>
        <w:ind w:left="3408"/>
        <w:jc w:val="both"/>
        <w:rPr>
          <w:lang w:val="en-US"/>
        </w:rPr>
      </w:pPr>
      <w:r w:rsidRPr="00C36BC7">
        <w:rPr>
          <w:lang w:val="en-US"/>
        </w:rPr>
        <w:t>23.6-24 GHz -&gt; 200MHz</w:t>
      </w:r>
      <w:r w:rsidRPr="00C36BC7">
        <w:rPr>
          <w:rFonts w:ascii="MS Mincho" w:eastAsia="MS Mincho" w:hAnsi="MS Mincho" w:cs="MS Mincho" w:hint="eastAsia"/>
          <w:lang w:val="en-US"/>
        </w:rPr>
        <w:t xml:space="preserve">　</w:t>
      </w:r>
    </w:p>
    <w:p w14:paraId="1EE934CF" w14:textId="77777777" w:rsidR="00545241" w:rsidRPr="00C36BC7" w:rsidRDefault="00545241" w:rsidP="002E6767">
      <w:pPr>
        <w:ind w:left="3408"/>
        <w:jc w:val="both"/>
        <w:rPr>
          <w:lang w:val="en-US"/>
        </w:rPr>
      </w:pPr>
      <w:r w:rsidRPr="00C36BC7">
        <w:rPr>
          <w:lang w:val="en-US"/>
        </w:rPr>
        <w:t>31.3-31.8 GHz -&gt; 200MHz</w:t>
      </w:r>
    </w:p>
    <w:p w14:paraId="739BA66A" w14:textId="77777777" w:rsidR="00545241" w:rsidRPr="00C36BC7" w:rsidRDefault="00545241" w:rsidP="002E6767">
      <w:pPr>
        <w:ind w:left="3408"/>
        <w:jc w:val="both"/>
        <w:rPr>
          <w:lang w:val="en-US"/>
        </w:rPr>
      </w:pPr>
      <w:r w:rsidRPr="00C36BC7">
        <w:rPr>
          <w:lang w:val="en-US"/>
        </w:rPr>
        <w:t>50.2-50.4 GHz -&gt; 200MHz</w:t>
      </w:r>
    </w:p>
    <w:p w14:paraId="354C19B5" w14:textId="77777777" w:rsidR="00545241" w:rsidRPr="00C36BC7" w:rsidRDefault="00545241" w:rsidP="002E6767">
      <w:pPr>
        <w:ind w:left="3408"/>
        <w:jc w:val="both"/>
        <w:rPr>
          <w:lang w:val="en-US"/>
        </w:rPr>
      </w:pPr>
      <w:r w:rsidRPr="00C36BC7">
        <w:rPr>
          <w:lang w:val="en-US"/>
        </w:rPr>
        <w:t>52.6-54.25 GHz -&gt; 100MHz</w:t>
      </w:r>
    </w:p>
    <w:p w14:paraId="43830F7E" w14:textId="77777777" w:rsidR="00545241" w:rsidRDefault="00545241" w:rsidP="002E6767">
      <w:pPr>
        <w:ind w:left="3408"/>
        <w:jc w:val="both"/>
        <w:rPr>
          <w:lang w:val="en-US"/>
        </w:rPr>
      </w:pPr>
      <w:r w:rsidRPr="00C36BC7">
        <w:rPr>
          <w:lang w:val="en-US"/>
        </w:rPr>
        <w:t>86-92 GHz -&gt; 100MHz</w:t>
      </w:r>
    </w:p>
    <w:p w14:paraId="236A61FD" w14:textId="2F8F1737" w:rsidR="007E700B" w:rsidRPr="00ED000E" w:rsidRDefault="007E700B" w:rsidP="002E6767">
      <w:pPr>
        <w:jc w:val="both"/>
        <w:rPr>
          <w:color w:val="000000"/>
        </w:rPr>
      </w:pPr>
      <w:r>
        <w:rPr>
          <w:color w:val="000000"/>
        </w:rPr>
        <w:t xml:space="preserve">CEPT PT1 finalized an ECC decision on the 26GHz band which is not under public consultation </w:t>
      </w:r>
      <w:bookmarkStart w:id="1" w:name="_Hlk510624311"/>
      <w:r>
        <w:rPr>
          <w:color w:val="000000"/>
        </w:rPr>
        <w:fldChar w:fldCharType="begin"/>
      </w:r>
      <w:r>
        <w:rPr>
          <w:color w:val="000000"/>
        </w:rPr>
        <w:instrText xml:space="preserve"> REF _Ref510624143 \r \h </w:instrText>
      </w:r>
      <w:r>
        <w:rPr>
          <w:color w:val="000000"/>
        </w:rPr>
      </w:r>
      <w:r>
        <w:rPr>
          <w:color w:val="000000"/>
        </w:rPr>
        <w:fldChar w:fldCharType="separate"/>
      </w:r>
      <w:r w:rsidR="00ED000E">
        <w:rPr>
          <w:color w:val="000000"/>
        </w:rPr>
        <w:t>[2]</w:t>
      </w:r>
      <w:r>
        <w:rPr>
          <w:color w:val="000000"/>
        </w:rPr>
        <w:fldChar w:fldCharType="end"/>
      </w:r>
      <w:bookmarkEnd w:id="1"/>
      <w:r>
        <w:rPr>
          <w:color w:val="000000"/>
        </w:rPr>
        <w:t xml:space="preserve">. </w:t>
      </w:r>
      <w:r w:rsidR="009647F7">
        <w:rPr>
          <w:color w:val="000000"/>
        </w:rPr>
        <w:t xml:space="preserve">As shown </w:t>
      </w:r>
      <w:r w:rsidR="009647F7" w:rsidRPr="00ED000E">
        <w:rPr>
          <w:color w:val="000000"/>
        </w:rPr>
        <w:t xml:space="preserve">in </w:t>
      </w:r>
      <w:r w:rsidR="009647F7" w:rsidRPr="00ED000E">
        <w:rPr>
          <w:color w:val="000000"/>
        </w:rPr>
        <w:fldChar w:fldCharType="begin"/>
      </w:r>
      <w:r w:rsidR="009647F7" w:rsidRPr="00ED000E">
        <w:rPr>
          <w:color w:val="000000"/>
        </w:rPr>
        <w:instrText xml:space="preserve"> REF _Ref510624255 \h </w:instrText>
      </w:r>
      <w:r w:rsidR="00ED000E">
        <w:rPr>
          <w:color w:val="000000"/>
        </w:rPr>
        <w:instrText xml:space="preserve"> \* MERGEFORMAT </w:instrText>
      </w:r>
      <w:r w:rsidR="009647F7" w:rsidRPr="00ED000E">
        <w:rPr>
          <w:color w:val="000000"/>
        </w:rPr>
      </w:r>
      <w:r w:rsidR="009647F7" w:rsidRPr="00ED000E">
        <w:rPr>
          <w:color w:val="000000"/>
        </w:rPr>
        <w:fldChar w:fldCharType="separate"/>
      </w:r>
      <w:r w:rsidR="00ED000E" w:rsidRPr="00ED000E">
        <w:t xml:space="preserve">Table </w:t>
      </w:r>
      <w:r w:rsidR="00ED000E" w:rsidRPr="00ED000E">
        <w:rPr>
          <w:noProof/>
        </w:rPr>
        <w:t>1</w:t>
      </w:r>
      <w:r w:rsidR="009647F7" w:rsidRPr="00ED000E">
        <w:rPr>
          <w:color w:val="000000"/>
        </w:rPr>
        <w:fldChar w:fldCharType="end"/>
      </w:r>
      <w:r w:rsidR="009647F7" w:rsidRPr="00ED000E">
        <w:rPr>
          <w:color w:val="000000"/>
        </w:rPr>
        <w:t>, t</w:t>
      </w:r>
      <w:r w:rsidRPr="00ED000E">
        <w:rPr>
          <w:color w:val="000000"/>
        </w:rPr>
        <w:t xml:space="preserve">he draft decision specifies a protection level </w:t>
      </w:r>
      <w:r w:rsidR="009647F7" w:rsidRPr="00ED000E">
        <w:rPr>
          <w:color w:val="000000"/>
        </w:rPr>
        <w:t xml:space="preserve">in the range of -38/-40 </w:t>
      </w:r>
      <w:proofErr w:type="spellStart"/>
      <w:r w:rsidR="009647F7" w:rsidRPr="00ED000E">
        <w:rPr>
          <w:color w:val="000000"/>
        </w:rPr>
        <w:t>dBW</w:t>
      </w:r>
      <w:proofErr w:type="spellEnd"/>
      <w:r w:rsidR="009647F7" w:rsidRPr="00ED000E">
        <w:rPr>
          <w:color w:val="000000"/>
        </w:rPr>
        <w:t>/200MHz.</w:t>
      </w:r>
    </w:p>
    <w:p w14:paraId="33AF6E27" w14:textId="445BC07A" w:rsidR="009647F7" w:rsidRPr="00ED000E" w:rsidRDefault="009647F7" w:rsidP="009647F7">
      <w:pPr>
        <w:pStyle w:val="ECCTabletitle"/>
      </w:pPr>
      <w:r w:rsidRPr="00ED000E">
        <w:t xml:space="preserve">MFCN terminal station maximum emissions into the 23.6-24.0 GHz band [2].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402"/>
        <w:gridCol w:w="2268"/>
        <w:gridCol w:w="1559"/>
      </w:tblGrid>
      <w:tr w:rsidR="009647F7" w:rsidRPr="00724EFA" w14:paraId="1C69789E" w14:textId="77777777" w:rsidTr="000B099A">
        <w:trPr>
          <w:tblHeader/>
          <w:jc w:val="center"/>
        </w:trPr>
        <w:tc>
          <w:tcPr>
            <w:tcW w:w="3402" w:type="dxa"/>
            <w:tcBorders>
              <w:top w:val="single" w:sz="4" w:space="0" w:color="auto"/>
              <w:left w:val="single" w:sz="4" w:space="0" w:color="auto"/>
              <w:bottom w:val="single" w:sz="4" w:space="0" w:color="auto"/>
              <w:right w:val="single" w:sz="4" w:space="0" w:color="auto"/>
            </w:tcBorders>
            <w:shd w:val="clear" w:color="auto" w:fill="D2232A"/>
            <w:vAlign w:val="center"/>
            <w:hideMark/>
          </w:tcPr>
          <w:p w14:paraId="6C219E1D" w14:textId="77777777" w:rsidR="009647F7" w:rsidRPr="00ED000E" w:rsidRDefault="009647F7" w:rsidP="000B099A">
            <w:pPr>
              <w:keepNext/>
              <w:spacing w:before="60" w:after="60" w:line="288" w:lineRule="auto"/>
              <w:jc w:val="center"/>
              <w:rPr>
                <w:b/>
                <w:color w:val="FFFFFF"/>
              </w:rPr>
            </w:pPr>
            <w:r w:rsidRPr="00ED000E">
              <w:rPr>
                <w:b/>
                <w:color w:val="FFFFFF"/>
              </w:rPr>
              <w:t xml:space="preserve">Frequency range </w:t>
            </w:r>
          </w:p>
        </w:tc>
        <w:tc>
          <w:tcPr>
            <w:tcW w:w="2268" w:type="dxa"/>
            <w:tcBorders>
              <w:top w:val="single" w:sz="4" w:space="0" w:color="auto"/>
              <w:left w:val="single" w:sz="4" w:space="0" w:color="auto"/>
              <w:bottom w:val="single" w:sz="4" w:space="0" w:color="auto"/>
              <w:right w:val="single" w:sz="4" w:space="0" w:color="auto"/>
            </w:tcBorders>
            <w:shd w:val="clear" w:color="auto" w:fill="D2232A"/>
            <w:vAlign w:val="center"/>
            <w:hideMark/>
          </w:tcPr>
          <w:p w14:paraId="60BBB778" w14:textId="77777777" w:rsidR="009647F7" w:rsidRPr="00ED000E" w:rsidRDefault="009647F7" w:rsidP="000B099A">
            <w:pPr>
              <w:keepNext/>
              <w:spacing w:before="60" w:after="60" w:line="288" w:lineRule="auto"/>
              <w:jc w:val="center"/>
              <w:rPr>
                <w:b/>
                <w:color w:val="FFFFFF"/>
              </w:rPr>
            </w:pPr>
            <w:r w:rsidRPr="00ED000E">
              <w:rPr>
                <w:b/>
                <w:color w:val="FFFFFF"/>
              </w:rPr>
              <w:t>Maximum emissions (see note)</w:t>
            </w:r>
          </w:p>
        </w:tc>
        <w:tc>
          <w:tcPr>
            <w:tcW w:w="1559" w:type="dxa"/>
            <w:tcBorders>
              <w:top w:val="single" w:sz="4" w:space="0" w:color="auto"/>
              <w:left w:val="single" w:sz="4" w:space="0" w:color="auto"/>
              <w:bottom w:val="single" w:sz="4" w:space="0" w:color="auto"/>
              <w:right w:val="single" w:sz="4" w:space="0" w:color="auto"/>
            </w:tcBorders>
            <w:shd w:val="clear" w:color="auto" w:fill="D2232A"/>
            <w:vAlign w:val="center"/>
            <w:hideMark/>
          </w:tcPr>
          <w:p w14:paraId="1C7A5707" w14:textId="77777777" w:rsidR="009647F7" w:rsidRPr="00724EFA" w:rsidRDefault="009647F7" w:rsidP="000B099A">
            <w:pPr>
              <w:keepNext/>
              <w:spacing w:before="60" w:after="60" w:line="288" w:lineRule="auto"/>
              <w:jc w:val="center"/>
              <w:rPr>
                <w:b/>
                <w:color w:val="FFFFFF"/>
              </w:rPr>
            </w:pPr>
            <w:r w:rsidRPr="00ED000E">
              <w:rPr>
                <w:b/>
                <w:color w:val="FFFFFF"/>
              </w:rPr>
              <w:t>Measurement bandwidth</w:t>
            </w:r>
          </w:p>
        </w:tc>
      </w:tr>
      <w:tr w:rsidR="009647F7" w:rsidRPr="00724EFA" w14:paraId="4B42EF88" w14:textId="77777777" w:rsidTr="000B099A">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5450D68" w14:textId="77777777" w:rsidR="009647F7" w:rsidRPr="00724EFA" w:rsidRDefault="009647F7" w:rsidP="000B099A">
            <w:pPr>
              <w:keepNext/>
              <w:spacing w:before="60" w:after="60" w:line="288" w:lineRule="auto"/>
              <w:jc w:val="center"/>
            </w:pPr>
            <w:r w:rsidRPr="00724EFA">
              <w:t>23.6-24.0</w:t>
            </w:r>
            <w:r>
              <w:t> 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20179D" w14:textId="77777777" w:rsidR="009647F7" w:rsidRPr="00724EFA" w:rsidRDefault="009647F7" w:rsidP="000B099A">
            <w:pPr>
              <w:keepNext/>
              <w:spacing w:before="60" w:after="60" w:line="288" w:lineRule="auto"/>
              <w:jc w:val="center"/>
            </w:pPr>
            <w:r w:rsidRPr="009647F7">
              <w:t>[-38/-40]</w:t>
            </w:r>
            <w:r w:rsidRPr="00724EFA">
              <w:t xml:space="preserve"> </w:t>
            </w:r>
            <w:proofErr w:type="spellStart"/>
            <w:r w:rsidRPr="00724EFA">
              <w:t>dBW</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B36AACB" w14:textId="77777777" w:rsidR="009647F7" w:rsidRPr="00724EFA" w:rsidRDefault="009647F7" w:rsidP="000B099A">
            <w:pPr>
              <w:keepNext/>
              <w:spacing w:before="60" w:after="60" w:line="288" w:lineRule="auto"/>
              <w:jc w:val="center"/>
              <w:rPr>
                <w:highlight w:val="green"/>
              </w:rPr>
            </w:pPr>
            <w:r w:rsidRPr="00724EFA">
              <w:t>200 MHz</w:t>
            </w:r>
          </w:p>
        </w:tc>
      </w:tr>
    </w:tbl>
    <w:p w14:paraId="4E8489BA" w14:textId="77777777" w:rsidR="009647F7" w:rsidRPr="00724EFA" w:rsidRDefault="009647F7" w:rsidP="009647F7">
      <w:pPr>
        <w:spacing w:after="240"/>
        <w:ind w:left="1276" w:right="1275"/>
        <w:jc w:val="both"/>
        <w:rPr>
          <w:sz w:val="18"/>
          <w:szCs w:val="18"/>
        </w:rPr>
      </w:pPr>
      <w:r w:rsidRPr="00724EFA">
        <w:rPr>
          <w:sz w:val="18"/>
          <w:szCs w:val="18"/>
        </w:rPr>
        <w:t xml:space="preserve">Note: This level requirement applies for </w:t>
      </w:r>
      <w:r>
        <w:rPr>
          <w:sz w:val="18"/>
          <w:szCs w:val="18"/>
        </w:rPr>
        <w:t>terminal station</w:t>
      </w:r>
      <w:r w:rsidRPr="00724EFA">
        <w:rPr>
          <w:sz w:val="18"/>
          <w:szCs w:val="18"/>
        </w:rPr>
        <w:t xml:space="preserve"> for all foreseen modes of operation (i.e. maximum in-band power, electrical pointing, carrier configurations)</w:t>
      </w:r>
    </w:p>
    <w:p w14:paraId="4DA47D49" w14:textId="77777777" w:rsidR="009647F7" w:rsidRPr="00724EFA" w:rsidRDefault="009647F7" w:rsidP="009647F7">
      <w:pPr>
        <w:spacing w:after="240"/>
        <w:ind w:left="1276" w:right="1275"/>
        <w:jc w:val="both"/>
        <w:rPr>
          <w:sz w:val="18"/>
          <w:szCs w:val="18"/>
        </w:rPr>
      </w:pPr>
      <w:r w:rsidRPr="0023771D">
        <w:rPr>
          <w:sz w:val="18"/>
          <w:szCs w:val="18"/>
        </w:rPr>
        <w:t>[Editor’s note: depending on information from industry about second harmonic, similar level might be necessary in the range 50.2-54.25 GHz]</w:t>
      </w:r>
    </w:p>
    <w:p w14:paraId="59B30003" w14:textId="4E17362E" w:rsidR="009647F7" w:rsidRDefault="009647F7" w:rsidP="002E6767">
      <w:pPr>
        <w:jc w:val="both"/>
        <w:rPr>
          <w:color w:val="000000"/>
        </w:rPr>
      </w:pPr>
      <w:r>
        <w:rPr>
          <w:color w:val="000000"/>
        </w:rPr>
        <w:t xml:space="preserve">A final value of within the proposed range will be decided in next PT1 meeting, which is happening </w:t>
      </w:r>
      <w:r w:rsidR="00ED000E">
        <w:rPr>
          <w:color w:val="000000"/>
        </w:rPr>
        <w:t xml:space="preserve">the </w:t>
      </w:r>
      <w:r>
        <w:rPr>
          <w:color w:val="000000"/>
        </w:rPr>
        <w:t xml:space="preserve">same week as RAN4 #86bis. </w:t>
      </w:r>
    </w:p>
    <w:p w14:paraId="262C8761" w14:textId="7B120F1D" w:rsidR="009647F7" w:rsidRDefault="002E6767" w:rsidP="009647F7">
      <w:pPr>
        <w:jc w:val="both"/>
        <w:rPr>
          <w:color w:val="000000"/>
        </w:rPr>
      </w:pPr>
      <w:r>
        <w:rPr>
          <w:color w:val="000000"/>
        </w:rPr>
        <w:t>Several RAN</w:t>
      </w:r>
      <w:r w:rsidRPr="002E6767">
        <w:rPr>
          <w:color w:val="000000"/>
        </w:rPr>
        <w:t>4</w:t>
      </w:r>
      <w:r>
        <w:rPr>
          <w:color w:val="000000"/>
        </w:rPr>
        <w:t xml:space="preserve"> contributions already addressed this issue </w:t>
      </w:r>
      <w:r>
        <w:rPr>
          <w:color w:val="000000"/>
        </w:rPr>
        <w:fldChar w:fldCharType="begin"/>
      </w:r>
      <w:r>
        <w:rPr>
          <w:color w:val="000000"/>
        </w:rPr>
        <w:instrText xml:space="preserve"> REF _Ref498435364 \r \h  \* MERGEFORMAT </w:instrText>
      </w:r>
      <w:r>
        <w:rPr>
          <w:color w:val="000000"/>
        </w:rPr>
      </w:r>
      <w:r>
        <w:rPr>
          <w:color w:val="000000"/>
        </w:rPr>
        <w:fldChar w:fldCharType="separate"/>
      </w:r>
      <w:r w:rsidR="00ED000E">
        <w:rPr>
          <w:color w:val="000000"/>
        </w:rPr>
        <w:t>[2]</w:t>
      </w:r>
      <w:r>
        <w:rPr>
          <w:color w:val="000000"/>
        </w:rPr>
        <w:fldChar w:fldCharType="end"/>
      </w:r>
      <w:r>
        <w:rPr>
          <w:color w:val="000000"/>
        </w:rPr>
        <w:fldChar w:fldCharType="begin"/>
      </w:r>
      <w:r>
        <w:rPr>
          <w:color w:val="000000"/>
        </w:rPr>
        <w:instrText xml:space="preserve"> REF _Ref498435369 \r \h  \* MERGEFORMAT </w:instrText>
      </w:r>
      <w:r>
        <w:rPr>
          <w:color w:val="000000"/>
        </w:rPr>
      </w:r>
      <w:r>
        <w:rPr>
          <w:color w:val="000000"/>
        </w:rPr>
        <w:fldChar w:fldCharType="separate"/>
      </w:r>
      <w:r w:rsidR="00ED000E">
        <w:rPr>
          <w:color w:val="000000"/>
        </w:rPr>
        <w:t>[4]</w:t>
      </w:r>
      <w:r>
        <w:rPr>
          <w:color w:val="000000"/>
        </w:rPr>
        <w:fldChar w:fldCharType="end"/>
      </w:r>
      <w:r>
        <w:rPr>
          <w:color w:val="000000"/>
        </w:rPr>
        <w:fldChar w:fldCharType="begin"/>
      </w:r>
      <w:r>
        <w:rPr>
          <w:color w:val="000000"/>
        </w:rPr>
        <w:instrText xml:space="preserve"> REF _Ref498435371 \r \h  \* MERGEFORMAT </w:instrText>
      </w:r>
      <w:r>
        <w:rPr>
          <w:color w:val="000000"/>
        </w:rPr>
      </w:r>
      <w:r>
        <w:rPr>
          <w:color w:val="000000"/>
        </w:rPr>
        <w:fldChar w:fldCharType="separate"/>
      </w:r>
      <w:r w:rsidR="00ED000E">
        <w:rPr>
          <w:color w:val="000000"/>
        </w:rPr>
        <w:t>[5]</w:t>
      </w:r>
      <w:r>
        <w:rPr>
          <w:color w:val="000000"/>
        </w:rPr>
        <w:fldChar w:fldCharType="end"/>
      </w:r>
      <w:r>
        <w:rPr>
          <w:color w:val="000000"/>
        </w:rPr>
        <w:fldChar w:fldCharType="begin"/>
      </w:r>
      <w:r>
        <w:rPr>
          <w:color w:val="000000"/>
        </w:rPr>
        <w:instrText xml:space="preserve"> REF _Ref498435373 \r \h  \* MERGEFORMAT </w:instrText>
      </w:r>
      <w:r>
        <w:rPr>
          <w:color w:val="000000"/>
        </w:rPr>
      </w:r>
      <w:r>
        <w:rPr>
          <w:color w:val="000000"/>
        </w:rPr>
        <w:fldChar w:fldCharType="separate"/>
      </w:r>
      <w:r w:rsidR="00ED000E">
        <w:rPr>
          <w:color w:val="000000"/>
        </w:rPr>
        <w:t>[6]</w:t>
      </w:r>
      <w:r>
        <w:rPr>
          <w:color w:val="000000"/>
        </w:rPr>
        <w:fldChar w:fldCharType="end"/>
      </w:r>
      <w:r>
        <w:rPr>
          <w:color w:val="000000"/>
        </w:rPr>
        <w:fldChar w:fldCharType="begin"/>
      </w:r>
      <w:r>
        <w:rPr>
          <w:color w:val="000000"/>
        </w:rPr>
        <w:instrText xml:space="preserve"> REF _Ref498435374 \r \h  \* MERGEFORMAT </w:instrText>
      </w:r>
      <w:r>
        <w:rPr>
          <w:color w:val="000000"/>
        </w:rPr>
      </w:r>
      <w:r>
        <w:rPr>
          <w:color w:val="000000"/>
        </w:rPr>
        <w:fldChar w:fldCharType="separate"/>
      </w:r>
      <w:r w:rsidR="00ED000E">
        <w:rPr>
          <w:color w:val="000000"/>
        </w:rPr>
        <w:t>[7]</w:t>
      </w:r>
      <w:r>
        <w:rPr>
          <w:color w:val="000000"/>
        </w:rPr>
        <w:fldChar w:fldCharType="end"/>
      </w:r>
      <w:r w:rsidR="009647F7">
        <w:rPr>
          <w:color w:val="000000"/>
        </w:rPr>
        <w:t>, in the following we will run a more detailed analysis considering the upper limit of the range discussed by CEPT</w:t>
      </w:r>
      <w:r w:rsidR="0023771D">
        <w:rPr>
          <w:color w:val="000000"/>
        </w:rPr>
        <w:t>, i.e. -8dBW/200MHz.</w:t>
      </w:r>
      <w:r w:rsidR="00E322D7">
        <w:rPr>
          <w:color w:val="000000"/>
        </w:rPr>
        <w:t xml:space="preserve"> This analysis will be further refined once a final decision about the requirement is made in CEPT PT1.</w:t>
      </w:r>
    </w:p>
    <w:p w14:paraId="78EB409D" w14:textId="0EB12966" w:rsidR="007F2705" w:rsidRDefault="007F2705" w:rsidP="0091110E">
      <w:pPr>
        <w:rPr>
          <w:rFonts w:ascii="Arial" w:hAnsi="Arial" w:cs="Arial"/>
          <w:color w:val="000000"/>
          <w:sz w:val="18"/>
          <w:szCs w:val="18"/>
        </w:rPr>
      </w:pPr>
    </w:p>
    <w:p w14:paraId="1CCD8D01" w14:textId="18590DDA" w:rsidR="00545241" w:rsidRDefault="00C2361C" w:rsidP="00545241">
      <w:pPr>
        <w:pStyle w:val="Heading1"/>
        <w:tabs>
          <w:tab w:val="clear" w:pos="432"/>
          <w:tab w:val="num" w:pos="522"/>
        </w:tabs>
        <w:ind w:left="522" w:hanging="522"/>
        <w:jc w:val="both"/>
        <w:rPr>
          <w:lang w:val="en-US"/>
        </w:rPr>
      </w:pPr>
      <w:r>
        <w:rPr>
          <w:lang w:val="en-US"/>
        </w:rPr>
        <w:lastRenderedPageBreak/>
        <w:t>Impact of additional spurious emission requirement: methodology and results</w:t>
      </w:r>
    </w:p>
    <w:p w14:paraId="4B929F31" w14:textId="0989E1C6" w:rsidR="00A40B8E" w:rsidRDefault="00ED000E" w:rsidP="00D86573">
      <w:pPr>
        <w:jc w:val="both"/>
        <w:rPr>
          <w:color w:val="000000"/>
          <w:lang w:val="en-US"/>
        </w:rPr>
      </w:pPr>
      <w:r>
        <w:rPr>
          <w:color w:val="000000"/>
        </w:rPr>
        <w:t>Based on</w:t>
      </w:r>
      <w:bookmarkStart w:id="2" w:name="_GoBack"/>
      <w:bookmarkEnd w:id="2"/>
      <w:r w:rsidR="00227DF0">
        <w:rPr>
          <w:color w:val="000000"/>
        </w:rPr>
        <w:t xml:space="preserve"> the recent Way Forward on MPR for FR2 </w:t>
      </w:r>
      <w:r w:rsidR="00227DF0">
        <w:rPr>
          <w:color w:val="000000"/>
        </w:rPr>
        <w:fldChar w:fldCharType="begin"/>
      </w:r>
      <w:r w:rsidR="00227DF0">
        <w:rPr>
          <w:color w:val="000000"/>
        </w:rPr>
        <w:instrText xml:space="preserve"> REF _Ref510629004 \r \h </w:instrText>
      </w:r>
      <w:r w:rsidR="00227DF0">
        <w:rPr>
          <w:color w:val="000000"/>
        </w:rPr>
      </w:r>
      <w:r w:rsidR="00227DF0">
        <w:rPr>
          <w:color w:val="000000"/>
        </w:rPr>
        <w:fldChar w:fldCharType="separate"/>
      </w:r>
      <w:r>
        <w:rPr>
          <w:color w:val="000000"/>
        </w:rPr>
        <w:t>[9]</w:t>
      </w:r>
      <w:r w:rsidR="00227DF0">
        <w:rPr>
          <w:color w:val="000000"/>
        </w:rPr>
        <w:fldChar w:fldCharType="end"/>
      </w:r>
      <w:r w:rsidR="00227DF0">
        <w:rPr>
          <w:color w:val="000000"/>
        </w:rPr>
        <w:t>, we assume the following waveform as reference (</w:t>
      </w:r>
      <w:r w:rsidR="00E322D7">
        <w:rPr>
          <w:color w:val="000000"/>
        </w:rPr>
        <w:t xml:space="preserve">0dB </w:t>
      </w:r>
      <w:r w:rsidR="00227DF0">
        <w:rPr>
          <w:color w:val="000000"/>
        </w:rPr>
        <w:t xml:space="preserve">MPR waveform): </w:t>
      </w:r>
      <w:r w:rsidR="00227DF0" w:rsidRPr="00227DF0">
        <w:rPr>
          <w:color w:val="000000"/>
          <w:lang w:val="en-US"/>
        </w:rPr>
        <w:t xml:space="preserve">BW = 100MHz, SCS=60KHz, DFT-S-OFDM </w:t>
      </w:r>
      <w:r w:rsidR="00E322D7" w:rsidRPr="003162B6">
        <w:rPr>
          <w:lang w:val="en-US"/>
        </w:rPr>
        <w:t>QPSK</w:t>
      </w:r>
      <w:r w:rsidR="00227DF0" w:rsidRPr="003162B6">
        <w:rPr>
          <w:lang w:val="en-US"/>
        </w:rPr>
        <w:t xml:space="preserve">, </w:t>
      </w:r>
      <w:r w:rsidR="00227DF0" w:rsidRPr="00227DF0">
        <w:rPr>
          <w:color w:val="000000"/>
          <w:lang w:val="en-US"/>
        </w:rPr>
        <w:t>128RB0</w:t>
      </w:r>
      <w:r w:rsidR="00227DF0">
        <w:rPr>
          <w:color w:val="000000"/>
          <w:lang w:val="en-US"/>
        </w:rPr>
        <w:t>.</w:t>
      </w:r>
    </w:p>
    <w:p w14:paraId="2A8A8BB6" w14:textId="52C74343" w:rsidR="00227DF0" w:rsidRPr="00ED000E" w:rsidRDefault="00E322D7" w:rsidP="00D86573">
      <w:pPr>
        <w:jc w:val="both"/>
        <w:rPr>
          <w:color w:val="000000"/>
          <w:lang w:val="en-US"/>
        </w:rPr>
      </w:pPr>
      <w:r>
        <w:rPr>
          <w:color w:val="000000"/>
          <w:lang w:val="en-US"/>
        </w:rPr>
        <w:t xml:space="preserve">In </w:t>
      </w:r>
      <w:r w:rsidR="00ED000E">
        <w:rPr>
          <w:color w:val="000000"/>
          <w:lang w:val="en-US"/>
        </w:rPr>
        <w:t>our analysis, we</w:t>
      </w:r>
      <w:r>
        <w:rPr>
          <w:color w:val="000000"/>
          <w:lang w:val="en-US"/>
        </w:rPr>
        <w:t xml:space="preserve"> </w:t>
      </w:r>
      <w:r w:rsidR="00ED000E">
        <w:rPr>
          <w:color w:val="000000"/>
          <w:lang w:val="en-US"/>
        </w:rPr>
        <w:t xml:space="preserve">considered </w:t>
      </w:r>
      <w:r>
        <w:rPr>
          <w:color w:val="000000"/>
          <w:lang w:val="en-US"/>
        </w:rPr>
        <w:t xml:space="preserve">different waveforms in terms of </w:t>
      </w:r>
      <w:r w:rsidRPr="00ED000E">
        <w:rPr>
          <w:color w:val="000000"/>
          <w:lang w:val="en-US"/>
        </w:rPr>
        <w:t xml:space="preserve">aggregated bandwidth </w:t>
      </w:r>
      <w:r w:rsidR="00ED000E">
        <w:rPr>
          <w:color w:val="000000"/>
          <w:lang w:val="en-US"/>
        </w:rPr>
        <w:t>spanning</w:t>
      </w:r>
      <w:r w:rsidRPr="00ED000E">
        <w:rPr>
          <w:color w:val="000000"/>
          <w:lang w:val="en-US"/>
        </w:rPr>
        <w:t xml:space="preserve"> from 50MHz to 800MHz. The channel allocation always starts at band n258 lower edge, i.e. 24.25GHz. We assumed DFT-S-OFDM since this is the waveform requiring less MPR according to our analysis in </w:t>
      </w:r>
      <w:r w:rsidRPr="00ED000E">
        <w:rPr>
          <w:color w:val="000000"/>
          <w:lang w:val="en-US"/>
        </w:rPr>
        <w:fldChar w:fldCharType="begin"/>
      </w:r>
      <w:r w:rsidRPr="00ED000E">
        <w:rPr>
          <w:color w:val="000000"/>
          <w:lang w:val="en-US"/>
        </w:rPr>
        <w:instrText xml:space="preserve"> REF _Ref510629471 \r \h </w:instrText>
      </w:r>
      <w:r w:rsidR="00ED000E">
        <w:rPr>
          <w:color w:val="000000"/>
          <w:lang w:val="en-US"/>
        </w:rPr>
        <w:instrText xml:space="preserve"> \* MERGEFORMAT </w:instrText>
      </w:r>
      <w:r w:rsidRPr="00ED000E">
        <w:rPr>
          <w:color w:val="000000"/>
          <w:lang w:val="en-US"/>
        </w:rPr>
      </w:r>
      <w:r w:rsidRPr="00ED000E">
        <w:rPr>
          <w:color w:val="000000"/>
          <w:lang w:val="en-US"/>
        </w:rPr>
        <w:fldChar w:fldCharType="separate"/>
      </w:r>
      <w:r w:rsidR="00ED000E" w:rsidRPr="00ED000E">
        <w:rPr>
          <w:color w:val="000000"/>
          <w:lang w:val="en-US"/>
        </w:rPr>
        <w:t>[10]</w:t>
      </w:r>
      <w:r w:rsidRPr="00ED000E">
        <w:rPr>
          <w:color w:val="000000"/>
          <w:lang w:val="en-US"/>
        </w:rPr>
        <w:fldChar w:fldCharType="end"/>
      </w:r>
      <w:r w:rsidRPr="00ED000E">
        <w:rPr>
          <w:color w:val="000000"/>
          <w:lang w:val="en-US"/>
        </w:rPr>
        <w:t xml:space="preserve">. </w:t>
      </w:r>
      <w:r w:rsidRPr="00ED000E">
        <w:rPr>
          <w:color w:val="000000"/>
          <w:lang w:val="en-US"/>
        </w:rPr>
        <w:fldChar w:fldCharType="begin"/>
      </w:r>
      <w:r w:rsidRPr="00ED000E">
        <w:rPr>
          <w:color w:val="000000"/>
          <w:lang w:val="en-US"/>
        </w:rPr>
        <w:instrText xml:space="preserve"> REF _Ref499203200 \h </w:instrText>
      </w:r>
      <w:r w:rsidR="00ED000E">
        <w:rPr>
          <w:color w:val="000000"/>
          <w:lang w:val="en-US"/>
        </w:rPr>
        <w:instrText xml:space="preserve"> \* MERGEFORMAT </w:instrText>
      </w:r>
      <w:r w:rsidRPr="00ED000E">
        <w:rPr>
          <w:color w:val="000000"/>
          <w:lang w:val="en-US"/>
        </w:rPr>
      </w:r>
      <w:r w:rsidRPr="00ED000E">
        <w:rPr>
          <w:color w:val="000000"/>
          <w:lang w:val="en-US"/>
        </w:rPr>
        <w:fldChar w:fldCharType="separate"/>
      </w:r>
      <w:r w:rsidR="00ED000E" w:rsidRPr="00ED000E">
        <w:t xml:space="preserve">Table </w:t>
      </w:r>
      <w:r w:rsidR="00ED000E" w:rsidRPr="00ED000E">
        <w:rPr>
          <w:noProof/>
        </w:rPr>
        <w:t>1</w:t>
      </w:r>
      <w:r w:rsidRPr="00ED000E">
        <w:rPr>
          <w:color w:val="000000"/>
          <w:lang w:val="en-US"/>
        </w:rPr>
        <w:fldChar w:fldCharType="end"/>
      </w:r>
      <w:r w:rsidRPr="00ED000E">
        <w:rPr>
          <w:color w:val="000000"/>
          <w:lang w:val="en-US"/>
        </w:rPr>
        <w:t xml:space="preserve"> summarized the total </w:t>
      </w:r>
      <w:r w:rsidR="00ED000E">
        <w:rPr>
          <w:color w:val="000000"/>
          <w:lang w:val="en-US"/>
        </w:rPr>
        <w:t xml:space="preserve">amount of </w:t>
      </w:r>
      <w:r w:rsidRPr="00ED000E">
        <w:rPr>
          <w:color w:val="000000"/>
          <w:lang w:val="en-US"/>
        </w:rPr>
        <w:t xml:space="preserve">back-off needed compared to the 0dB MPR waveform. </w:t>
      </w:r>
      <w:r w:rsidR="001B7191" w:rsidRPr="00ED000E">
        <w:rPr>
          <w:color w:val="000000"/>
          <w:lang w:val="en-US"/>
        </w:rPr>
        <w:t>The table shows both contiguous and non-</w:t>
      </w:r>
      <w:r w:rsidR="00876C35" w:rsidRPr="00ED000E">
        <w:rPr>
          <w:color w:val="000000"/>
          <w:lang w:val="en-US"/>
        </w:rPr>
        <w:t>contiguous</w:t>
      </w:r>
      <w:r w:rsidR="001B7191" w:rsidRPr="00ED000E">
        <w:rPr>
          <w:color w:val="000000"/>
          <w:lang w:val="en-US"/>
        </w:rPr>
        <w:t xml:space="preserve"> allocation cases. As we described in </w:t>
      </w:r>
      <w:r w:rsidR="001B7191" w:rsidRPr="00ED000E">
        <w:rPr>
          <w:color w:val="000000"/>
          <w:lang w:val="en-US"/>
        </w:rPr>
        <w:fldChar w:fldCharType="begin"/>
      </w:r>
      <w:r w:rsidR="001B7191" w:rsidRPr="00ED000E">
        <w:rPr>
          <w:color w:val="000000"/>
          <w:lang w:val="en-US"/>
        </w:rPr>
        <w:instrText xml:space="preserve"> REF _Ref510629471 \r \h </w:instrText>
      </w:r>
      <w:r w:rsidR="00876C35" w:rsidRPr="00ED000E">
        <w:rPr>
          <w:color w:val="000000"/>
          <w:lang w:val="en-US"/>
        </w:rPr>
        <w:instrText xml:space="preserve"> \* MERGEFORMAT </w:instrText>
      </w:r>
      <w:r w:rsidR="001B7191" w:rsidRPr="00ED000E">
        <w:rPr>
          <w:color w:val="000000"/>
          <w:lang w:val="en-US"/>
        </w:rPr>
      </w:r>
      <w:r w:rsidR="001B7191" w:rsidRPr="00ED000E">
        <w:rPr>
          <w:color w:val="000000"/>
          <w:lang w:val="en-US"/>
        </w:rPr>
        <w:fldChar w:fldCharType="separate"/>
      </w:r>
      <w:r w:rsidR="00ED000E" w:rsidRPr="00ED000E">
        <w:rPr>
          <w:color w:val="000000"/>
          <w:lang w:val="en-US"/>
        </w:rPr>
        <w:t>[10]</w:t>
      </w:r>
      <w:r w:rsidR="001B7191" w:rsidRPr="00ED000E">
        <w:rPr>
          <w:color w:val="000000"/>
          <w:lang w:val="en-US"/>
        </w:rPr>
        <w:fldChar w:fldCharType="end"/>
      </w:r>
      <w:r w:rsidR="001B7191" w:rsidRPr="00ED000E">
        <w:rPr>
          <w:color w:val="000000"/>
          <w:lang w:val="en-US"/>
        </w:rPr>
        <w:t xml:space="preserve">, </w:t>
      </w:r>
      <w:r w:rsidR="001B7191" w:rsidRPr="00ED000E">
        <w:rPr>
          <w:lang w:val="en-US"/>
        </w:rPr>
        <w:t xml:space="preserve">for non-contiguous RB allocation, if the allocation ratio A is less than 2%, the total back-off is </w:t>
      </w:r>
      <w:r w:rsidR="00876C35" w:rsidRPr="00ED000E">
        <w:rPr>
          <w:lang w:val="en-US"/>
        </w:rPr>
        <w:t xml:space="preserve">waveform and </w:t>
      </w:r>
      <w:r w:rsidR="001B7191" w:rsidRPr="00ED000E">
        <w:rPr>
          <w:lang w:val="en-US"/>
        </w:rPr>
        <w:t>bandwidth agnostic as far as IM3 or Triple Beat products fall into passive services frequency region.</w:t>
      </w:r>
    </w:p>
    <w:p w14:paraId="4C828C76" w14:textId="36EDAF29" w:rsidR="00565A4E" w:rsidRPr="00ED000E" w:rsidRDefault="00565A4E" w:rsidP="00753514">
      <w:pPr>
        <w:pStyle w:val="Caption"/>
        <w:keepNext/>
        <w:jc w:val="center"/>
      </w:pPr>
      <w:bookmarkStart w:id="3" w:name="_Ref499203200"/>
      <w:bookmarkStart w:id="4" w:name="_Ref510624255"/>
      <w:bookmarkStart w:id="5" w:name="_Ref510624251"/>
      <w:r w:rsidRPr="00ED000E">
        <w:t xml:space="preserve">Table </w:t>
      </w:r>
      <w:r w:rsidRPr="00ED000E">
        <w:fldChar w:fldCharType="begin"/>
      </w:r>
      <w:r w:rsidRPr="00ED000E">
        <w:instrText xml:space="preserve"> SEQ Table \* ARABIC </w:instrText>
      </w:r>
      <w:r w:rsidRPr="00ED000E">
        <w:fldChar w:fldCharType="separate"/>
      </w:r>
      <w:r w:rsidR="00ED000E" w:rsidRPr="00ED000E">
        <w:rPr>
          <w:noProof/>
        </w:rPr>
        <w:t>1</w:t>
      </w:r>
      <w:r w:rsidRPr="00ED000E">
        <w:fldChar w:fldCharType="end"/>
      </w:r>
      <w:bookmarkEnd w:id="3"/>
      <w:bookmarkEnd w:id="4"/>
      <w:r w:rsidRPr="00ED000E">
        <w:t xml:space="preserve">. </w:t>
      </w:r>
      <w:r w:rsidR="00E322D7" w:rsidRPr="00ED000E">
        <w:t>Total back-off needed to meet -8dBm/200MHz in 23.6-24GHz</w:t>
      </w:r>
      <w:r w:rsidRPr="00ED000E">
        <w:t>.</w:t>
      </w:r>
      <w:bookmarkEnd w:id="5"/>
    </w:p>
    <w:tbl>
      <w:tblPr>
        <w:tblW w:w="9811" w:type="dxa"/>
        <w:tblCellMar>
          <w:left w:w="70" w:type="dxa"/>
          <w:right w:w="70" w:type="dxa"/>
        </w:tblCellMar>
        <w:tblLook w:val="04A0" w:firstRow="1" w:lastRow="0" w:firstColumn="1" w:lastColumn="0" w:noHBand="0" w:noVBand="1"/>
      </w:tblPr>
      <w:tblGrid>
        <w:gridCol w:w="1187"/>
        <w:gridCol w:w="1747"/>
        <w:gridCol w:w="2032"/>
        <w:gridCol w:w="884"/>
        <w:gridCol w:w="2070"/>
        <w:gridCol w:w="1891"/>
      </w:tblGrid>
      <w:tr w:rsidR="001B7191" w:rsidRPr="00ED000E" w14:paraId="61D542F4" w14:textId="77777777" w:rsidTr="001B7191">
        <w:trPr>
          <w:trHeight w:val="295"/>
        </w:trPr>
        <w:tc>
          <w:tcPr>
            <w:tcW w:w="1187" w:type="dxa"/>
            <w:tcBorders>
              <w:top w:val="nil"/>
              <w:left w:val="nil"/>
              <w:bottom w:val="nil"/>
              <w:right w:val="nil"/>
            </w:tcBorders>
            <w:shd w:val="clear" w:color="auto" w:fill="auto"/>
            <w:noWrap/>
            <w:vAlign w:val="bottom"/>
            <w:hideMark/>
          </w:tcPr>
          <w:p w14:paraId="14859D97" w14:textId="77777777" w:rsidR="001B7191" w:rsidRPr="00ED000E" w:rsidRDefault="001B7191" w:rsidP="001B7191">
            <w:pPr>
              <w:spacing w:after="0"/>
              <w:rPr>
                <w:sz w:val="24"/>
                <w:szCs w:val="24"/>
                <w:lang w:val="en-US" w:eastAsia="it-IT"/>
              </w:rPr>
            </w:pPr>
          </w:p>
        </w:tc>
        <w:tc>
          <w:tcPr>
            <w:tcW w:w="1747" w:type="dxa"/>
            <w:tcBorders>
              <w:top w:val="nil"/>
              <w:left w:val="nil"/>
              <w:bottom w:val="nil"/>
              <w:right w:val="nil"/>
            </w:tcBorders>
            <w:shd w:val="clear" w:color="auto" w:fill="auto"/>
            <w:noWrap/>
            <w:vAlign w:val="bottom"/>
            <w:hideMark/>
          </w:tcPr>
          <w:p w14:paraId="64FB5649" w14:textId="77777777" w:rsidR="001B7191" w:rsidRPr="00ED000E" w:rsidRDefault="001B7191" w:rsidP="001B7191">
            <w:pPr>
              <w:spacing w:after="0"/>
              <w:rPr>
                <w:lang w:val="en-US" w:eastAsia="it-IT"/>
              </w:rPr>
            </w:pPr>
          </w:p>
        </w:tc>
        <w:tc>
          <w:tcPr>
            <w:tcW w:w="2032" w:type="dxa"/>
            <w:tcBorders>
              <w:top w:val="nil"/>
              <w:left w:val="nil"/>
              <w:bottom w:val="nil"/>
              <w:right w:val="nil"/>
            </w:tcBorders>
            <w:shd w:val="clear" w:color="auto" w:fill="auto"/>
            <w:noWrap/>
            <w:vAlign w:val="bottom"/>
            <w:hideMark/>
          </w:tcPr>
          <w:p w14:paraId="192A23B6" w14:textId="77777777" w:rsidR="001B7191" w:rsidRPr="00ED000E" w:rsidRDefault="001B7191" w:rsidP="001B7191">
            <w:pPr>
              <w:spacing w:after="0"/>
              <w:rPr>
                <w:lang w:val="en-US" w:eastAsia="it-IT"/>
              </w:rPr>
            </w:pPr>
          </w:p>
        </w:tc>
        <w:tc>
          <w:tcPr>
            <w:tcW w:w="884" w:type="dxa"/>
            <w:tcBorders>
              <w:top w:val="nil"/>
              <w:left w:val="nil"/>
              <w:bottom w:val="nil"/>
              <w:right w:val="nil"/>
            </w:tcBorders>
            <w:shd w:val="clear" w:color="auto" w:fill="auto"/>
            <w:noWrap/>
            <w:vAlign w:val="bottom"/>
            <w:hideMark/>
          </w:tcPr>
          <w:p w14:paraId="00A8B3E5" w14:textId="77777777" w:rsidR="001B7191" w:rsidRPr="00ED000E" w:rsidRDefault="001B7191" w:rsidP="001B7191">
            <w:pPr>
              <w:spacing w:after="0"/>
              <w:rPr>
                <w:lang w:val="en-US" w:eastAsia="it-IT"/>
              </w:rPr>
            </w:pPr>
          </w:p>
        </w:tc>
        <w:tc>
          <w:tcPr>
            <w:tcW w:w="2070" w:type="dxa"/>
            <w:tcBorders>
              <w:top w:val="single" w:sz="8" w:space="0" w:color="auto"/>
              <w:left w:val="single" w:sz="8" w:space="0" w:color="auto"/>
              <w:bottom w:val="nil"/>
              <w:right w:val="single" w:sz="8" w:space="0" w:color="auto"/>
            </w:tcBorders>
            <w:shd w:val="clear" w:color="auto" w:fill="auto"/>
            <w:noWrap/>
            <w:vAlign w:val="center"/>
            <w:hideMark/>
          </w:tcPr>
          <w:p w14:paraId="630A0333"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Contiguous RB allocation</w:t>
            </w:r>
          </w:p>
        </w:tc>
        <w:tc>
          <w:tcPr>
            <w:tcW w:w="1891" w:type="dxa"/>
            <w:tcBorders>
              <w:top w:val="single" w:sz="8" w:space="0" w:color="auto"/>
              <w:left w:val="nil"/>
              <w:bottom w:val="nil"/>
              <w:right w:val="single" w:sz="8" w:space="0" w:color="auto"/>
            </w:tcBorders>
            <w:shd w:val="clear" w:color="auto" w:fill="auto"/>
            <w:noWrap/>
            <w:vAlign w:val="center"/>
            <w:hideMark/>
          </w:tcPr>
          <w:p w14:paraId="12299F69" w14:textId="1473B6FA"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Non-Contiguous RB allocation, A&lt;=0.02</w:t>
            </w:r>
          </w:p>
        </w:tc>
      </w:tr>
      <w:tr w:rsidR="001B7191" w:rsidRPr="00ED000E" w14:paraId="430CCB72" w14:textId="77777777" w:rsidTr="001B7191">
        <w:trPr>
          <w:trHeight w:val="295"/>
        </w:trPr>
        <w:tc>
          <w:tcPr>
            <w:tcW w:w="1187" w:type="dxa"/>
            <w:tcBorders>
              <w:top w:val="single" w:sz="8" w:space="0" w:color="auto"/>
              <w:left w:val="single" w:sz="8" w:space="0" w:color="auto"/>
              <w:bottom w:val="nil"/>
              <w:right w:val="single" w:sz="8" w:space="0" w:color="auto"/>
            </w:tcBorders>
            <w:shd w:val="clear" w:color="auto" w:fill="auto"/>
            <w:noWrap/>
            <w:vAlign w:val="center"/>
            <w:hideMark/>
          </w:tcPr>
          <w:p w14:paraId="4D76733D"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Modulation</w:t>
            </w:r>
          </w:p>
        </w:tc>
        <w:tc>
          <w:tcPr>
            <w:tcW w:w="1747" w:type="dxa"/>
            <w:tcBorders>
              <w:top w:val="single" w:sz="8" w:space="0" w:color="auto"/>
              <w:left w:val="nil"/>
              <w:bottom w:val="nil"/>
              <w:right w:val="single" w:sz="8" w:space="0" w:color="auto"/>
            </w:tcBorders>
            <w:shd w:val="clear" w:color="auto" w:fill="auto"/>
            <w:noWrap/>
            <w:vAlign w:val="center"/>
            <w:hideMark/>
          </w:tcPr>
          <w:p w14:paraId="542FDAE1"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Component Carriers [MHz]</w:t>
            </w:r>
          </w:p>
        </w:tc>
        <w:tc>
          <w:tcPr>
            <w:tcW w:w="2032" w:type="dxa"/>
            <w:tcBorders>
              <w:top w:val="single" w:sz="8" w:space="0" w:color="auto"/>
              <w:left w:val="nil"/>
              <w:bottom w:val="nil"/>
              <w:right w:val="single" w:sz="8" w:space="0" w:color="auto"/>
            </w:tcBorders>
            <w:shd w:val="clear" w:color="auto" w:fill="auto"/>
            <w:noWrap/>
            <w:vAlign w:val="center"/>
            <w:hideMark/>
          </w:tcPr>
          <w:p w14:paraId="4AECBCE9"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Aggregated BW [MHz]</w:t>
            </w:r>
          </w:p>
        </w:tc>
        <w:tc>
          <w:tcPr>
            <w:tcW w:w="884" w:type="dxa"/>
            <w:tcBorders>
              <w:top w:val="single" w:sz="8" w:space="0" w:color="auto"/>
              <w:left w:val="nil"/>
              <w:bottom w:val="nil"/>
              <w:right w:val="nil"/>
            </w:tcBorders>
            <w:shd w:val="clear" w:color="auto" w:fill="auto"/>
            <w:noWrap/>
            <w:vAlign w:val="center"/>
            <w:hideMark/>
          </w:tcPr>
          <w:p w14:paraId="771801F2"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SCS [KHz]</w:t>
            </w:r>
          </w:p>
        </w:tc>
        <w:tc>
          <w:tcPr>
            <w:tcW w:w="396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0F8FCE" w14:textId="77777777" w:rsidR="001B7191" w:rsidRPr="00ED000E" w:rsidRDefault="001B7191" w:rsidP="001B7191">
            <w:pPr>
              <w:spacing w:after="0"/>
              <w:jc w:val="center"/>
              <w:rPr>
                <w:rFonts w:ascii="Calibri" w:hAnsi="Calibri" w:cs="Calibri"/>
                <w:color w:val="000000"/>
                <w:sz w:val="22"/>
                <w:szCs w:val="22"/>
                <w:lang w:val="en-US" w:eastAsia="it-IT"/>
              </w:rPr>
            </w:pPr>
            <w:r w:rsidRPr="00ED000E">
              <w:rPr>
                <w:rFonts w:ascii="Calibri" w:hAnsi="Calibri" w:cs="Calibri"/>
                <w:color w:val="000000"/>
                <w:sz w:val="22"/>
                <w:szCs w:val="22"/>
                <w:lang w:val="en-US" w:eastAsia="it-IT"/>
              </w:rPr>
              <w:t>Total Back-off needed [dB]</w:t>
            </w:r>
          </w:p>
        </w:tc>
      </w:tr>
      <w:tr w:rsidR="001B7191" w:rsidRPr="00ED000E" w14:paraId="1ECC1D5A" w14:textId="77777777" w:rsidTr="001B7191">
        <w:trPr>
          <w:trHeight w:val="284"/>
        </w:trPr>
        <w:tc>
          <w:tcPr>
            <w:tcW w:w="1187"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5CE5A6C2"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QPSK</w:t>
            </w:r>
          </w:p>
        </w:tc>
        <w:tc>
          <w:tcPr>
            <w:tcW w:w="1747" w:type="dxa"/>
            <w:tcBorders>
              <w:top w:val="single" w:sz="8" w:space="0" w:color="auto"/>
              <w:left w:val="single" w:sz="8" w:space="0" w:color="auto"/>
              <w:bottom w:val="nil"/>
              <w:right w:val="single" w:sz="8" w:space="0" w:color="auto"/>
            </w:tcBorders>
            <w:shd w:val="clear" w:color="auto" w:fill="auto"/>
            <w:noWrap/>
            <w:vAlign w:val="center"/>
            <w:hideMark/>
          </w:tcPr>
          <w:p w14:paraId="713B5237"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50</w:t>
            </w:r>
          </w:p>
        </w:tc>
        <w:tc>
          <w:tcPr>
            <w:tcW w:w="2032" w:type="dxa"/>
            <w:tcBorders>
              <w:top w:val="single" w:sz="8" w:space="0" w:color="auto"/>
              <w:left w:val="nil"/>
              <w:bottom w:val="nil"/>
              <w:right w:val="single" w:sz="8" w:space="0" w:color="auto"/>
            </w:tcBorders>
            <w:shd w:val="clear" w:color="auto" w:fill="auto"/>
            <w:noWrap/>
            <w:vAlign w:val="center"/>
            <w:hideMark/>
          </w:tcPr>
          <w:p w14:paraId="0BCDFDD9"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50</w:t>
            </w:r>
          </w:p>
        </w:tc>
        <w:tc>
          <w:tcPr>
            <w:tcW w:w="884" w:type="dxa"/>
            <w:tcBorders>
              <w:top w:val="single" w:sz="8" w:space="0" w:color="auto"/>
              <w:left w:val="nil"/>
              <w:bottom w:val="nil"/>
              <w:right w:val="nil"/>
            </w:tcBorders>
            <w:shd w:val="clear" w:color="auto" w:fill="auto"/>
            <w:noWrap/>
            <w:vAlign w:val="center"/>
            <w:hideMark/>
          </w:tcPr>
          <w:p w14:paraId="789016AA"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60</w:t>
            </w:r>
          </w:p>
        </w:tc>
        <w:tc>
          <w:tcPr>
            <w:tcW w:w="2070" w:type="dxa"/>
            <w:tcBorders>
              <w:top w:val="nil"/>
              <w:left w:val="single" w:sz="8" w:space="0" w:color="auto"/>
              <w:bottom w:val="nil"/>
              <w:right w:val="single" w:sz="8" w:space="0" w:color="auto"/>
            </w:tcBorders>
            <w:shd w:val="clear" w:color="auto" w:fill="auto"/>
            <w:noWrap/>
            <w:vAlign w:val="center"/>
            <w:hideMark/>
          </w:tcPr>
          <w:p w14:paraId="4AC277BC"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0</w:t>
            </w:r>
          </w:p>
        </w:tc>
        <w:tc>
          <w:tcPr>
            <w:tcW w:w="1891" w:type="dxa"/>
            <w:tcBorders>
              <w:top w:val="nil"/>
              <w:left w:val="nil"/>
              <w:bottom w:val="nil"/>
              <w:right w:val="single" w:sz="8" w:space="0" w:color="auto"/>
            </w:tcBorders>
            <w:shd w:val="clear" w:color="auto" w:fill="auto"/>
            <w:noWrap/>
            <w:vAlign w:val="center"/>
            <w:hideMark/>
          </w:tcPr>
          <w:p w14:paraId="21784A6E" w14:textId="238E4549"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NA</w:t>
            </w:r>
          </w:p>
        </w:tc>
      </w:tr>
      <w:tr w:rsidR="001B7191" w:rsidRPr="00ED000E" w14:paraId="20CB925E" w14:textId="77777777" w:rsidTr="001B7191">
        <w:trPr>
          <w:trHeight w:val="284"/>
        </w:trPr>
        <w:tc>
          <w:tcPr>
            <w:tcW w:w="1187" w:type="dxa"/>
            <w:vMerge/>
            <w:tcBorders>
              <w:top w:val="single" w:sz="8" w:space="0" w:color="auto"/>
              <w:left w:val="single" w:sz="8" w:space="0" w:color="auto"/>
              <w:bottom w:val="single" w:sz="8" w:space="0" w:color="000000"/>
              <w:right w:val="nil"/>
            </w:tcBorders>
            <w:vAlign w:val="center"/>
            <w:hideMark/>
          </w:tcPr>
          <w:p w14:paraId="178ED2CD" w14:textId="77777777" w:rsidR="001B7191" w:rsidRPr="00ED000E" w:rsidRDefault="001B7191" w:rsidP="001B7191">
            <w:pPr>
              <w:spacing w:after="0"/>
              <w:rPr>
                <w:rFonts w:ascii="Calibri" w:hAnsi="Calibri" w:cs="Calibri"/>
                <w:color w:val="000000"/>
                <w:sz w:val="22"/>
                <w:szCs w:val="22"/>
                <w:lang w:val="it-IT" w:eastAsia="it-IT"/>
              </w:rPr>
            </w:pPr>
          </w:p>
        </w:tc>
        <w:tc>
          <w:tcPr>
            <w:tcW w:w="1747" w:type="dxa"/>
            <w:tcBorders>
              <w:top w:val="nil"/>
              <w:left w:val="single" w:sz="8" w:space="0" w:color="auto"/>
              <w:bottom w:val="nil"/>
              <w:right w:val="single" w:sz="8" w:space="0" w:color="auto"/>
            </w:tcBorders>
            <w:shd w:val="clear" w:color="auto" w:fill="auto"/>
            <w:noWrap/>
            <w:vAlign w:val="center"/>
            <w:hideMark/>
          </w:tcPr>
          <w:p w14:paraId="5D39B26D"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200</w:t>
            </w:r>
          </w:p>
        </w:tc>
        <w:tc>
          <w:tcPr>
            <w:tcW w:w="2032" w:type="dxa"/>
            <w:tcBorders>
              <w:top w:val="nil"/>
              <w:left w:val="nil"/>
              <w:bottom w:val="nil"/>
              <w:right w:val="single" w:sz="8" w:space="0" w:color="auto"/>
            </w:tcBorders>
            <w:shd w:val="clear" w:color="auto" w:fill="auto"/>
            <w:noWrap/>
            <w:vAlign w:val="center"/>
            <w:hideMark/>
          </w:tcPr>
          <w:p w14:paraId="097EE308"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200</w:t>
            </w:r>
          </w:p>
        </w:tc>
        <w:tc>
          <w:tcPr>
            <w:tcW w:w="884" w:type="dxa"/>
            <w:tcBorders>
              <w:top w:val="nil"/>
              <w:left w:val="nil"/>
              <w:bottom w:val="nil"/>
              <w:right w:val="nil"/>
            </w:tcBorders>
            <w:shd w:val="clear" w:color="auto" w:fill="auto"/>
            <w:noWrap/>
            <w:vAlign w:val="center"/>
            <w:hideMark/>
          </w:tcPr>
          <w:p w14:paraId="63D85ECE"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60</w:t>
            </w:r>
          </w:p>
        </w:tc>
        <w:tc>
          <w:tcPr>
            <w:tcW w:w="2070" w:type="dxa"/>
            <w:tcBorders>
              <w:top w:val="nil"/>
              <w:left w:val="single" w:sz="8" w:space="0" w:color="auto"/>
              <w:bottom w:val="nil"/>
              <w:right w:val="single" w:sz="8" w:space="0" w:color="auto"/>
            </w:tcBorders>
            <w:shd w:val="clear" w:color="auto" w:fill="auto"/>
            <w:noWrap/>
            <w:vAlign w:val="center"/>
            <w:hideMark/>
          </w:tcPr>
          <w:p w14:paraId="7EB9E7D0"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0</w:t>
            </w:r>
          </w:p>
        </w:tc>
        <w:tc>
          <w:tcPr>
            <w:tcW w:w="1891" w:type="dxa"/>
            <w:tcBorders>
              <w:top w:val="nil"/>
              <w:left w:val="nil"/>
              <w:bottom w:val="nil"/>
              <w:right w:val="single" w:sz="8" w:space="0" w:color="auto"/>
            </w:tcBorders>
            <w:shd w:val="clear" w:color="auto" w:fill="auto"/>
            <w:noWrap/>
            <w:vAlign w:val="center"/>
            <w:hideMark/>
          </w:tcPr>
          <w:p w14:paraId="3CFF14BE" w14:textId="7BDF7818"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NA</w:t>
            </w:r>
          </w:p>
        </w:tc>
      </w:tr>
      <w:tr w:rsidR="001B7191" w:rsidRPr="00ED000E" w14:paraId="084BA331" w14:textId="77777777" w:rsidTr="001B7191">
        <w:trPr>
          <w:trHeight w:val="284"/>
        </w:trPr>
        <w:tc>
          <w:tcPr>
            <w:tcW w:w="1187" w:type="dxa"/>
            <w:vMerge/>
            <w:tcBorders>
              <w:top w:val="single" w:sz="8" w:space="0" w:color="auto"/>
              <w:left w:val="single" w:sz="8" w:space="0" w:color="auto"/>
              <w:bottom w:val="single" w:sz="8" w:space="0" w:color="000000"/>
              <w:right w:val="nil"/>
            </w:tcBorders>
            <w:vAlign w:val="center"/>
            <w:hideMark/>
          </w:tcPr>
          <w:p w14:paraId="3CBAF5B8" w14:textId="77777777" w:rsidR="001B7191" w:rsidRPr="00ED000E" w:rsidRDefault="001B7191" w:rsidP="001B7191">
            <w:pPr>
              <w:spacing w:after="0"/>
              <w:rPr>
                <w:rFonts w:ascii="Calibri" w:hAnsi="Calibri" w:cs="Calibri"/>
                <w:color w:val="000000"/>
                <w:sz w:val="22"/>
                <w:szCs w:val="22"/>
                <w:lang w:val="it-IT" w:eastAsia="it-IT"/>
              </w:rPr>
            </w:pPr>
          </w:p>
        </w:tc>
        <w:tc>
          <w:tcPr>
            <w:tcW w:w="1747" w:type="dxa"/>
            <w:tcBorders>
              <w:top w:val="nil"/>
              <w:left w:val="single" w:sz="8" w:space="0" w:color="auto"/>
              <w:bottom w:val="nil"/>
              <w:right w:val="single" w:sz="8" w:space="0" w:color="auto"/>
            </w:tcBorders>
            <w:shd w:val="clear" w:color="auto" w:fill="auto"/>
            <w:noWrap/>
            <w:vAlign w:val="center"/>
            <w:hideMark/>
          </w:tcPr>
          <w:p w14:paraId="6B7157F4"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200+200</w:t>
            </w:r>
          </w:p>
        </w:tc>
        <w:tc>
          <w:tcPr>
            <w:tcW w:w="2032" w:type="dxa"/>
            <w:tcBorders>
              <w:top w:val="nil"/>
              <w:left w:val="nil"/>
              <w:bottom w:val="nil"/>
              <w:right w:val="single" w:sz="8" w:space="0" w:color="auto"/>
            </w:tcBorders>
            <w:shd w:val="clear" w:color="auto" w:fill="auto"/>
            <w:noWrap/>
            <w:vAlign w:val="center"/>
            <w:hideMark/>
          </w:tcPr>
          <w:p w14:paraId="764809BF"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400</w:t>
            </w:r>
          </w:p>
        </w:tc>
        <w:tc>
          <w:tcPr>
            <w:tcW w:w="884" w:type="dxa"/>
            <w:tcBorders>
              <w:top w:val="nil"/>
              <w:left w:val="nil"/>
              <w:bottom w:val="nil"/>
              <w:right w:val="nil"/>
            </w:tcBorders>
            <w:shd w:val="clear" w:color="auto" w:fill="auto"/>
            <w:noWrap/>
            <w:vAlign w:val="center"/>
            <w:hideMark/>
          </w:tcPr>
          <w:p w14:paraId="44AAE9FC"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60</w:t>
            </w:r>
          </w:p>
        </w:tc>
        <w:tc>
          <w:tcPr>
            <w:tcW w:w="2070" w:type="dxa"/>
            <w:tcBorders>
              <w:top w:val="nil"/>
              <w:left w:val="single" w:sz="8" w:space="0" w:color="auto"/>
              <w:bottom w:val="nil"/>
              <w:right w:val="single" w:sz="8" w:space="0" w:color="auto"/>
            </w:tcBorders>
            <w:shd w:val="clear" w:color="auto" w:fill="auto"/>
            <w:noWrap/>
            <w:vAlign w:val="center"/>
            <w:hideMark/>
          </w:tcPr>
          <w:p w14:paraId="6BDF3D4A"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2</w:t>
            </w:r>
          </w:p>
        </w:tc>
        <w:tc>
          <w:tcPr>
            <w:tcW w:w="1891" w:type="dxa"/>
            <w:tcBorders>
              <w:top w:val="nil"/>
              <w:left w:val="nil"/>
              <w:bottom w:val="nil"/>
              <w:right w:val="single" w:sz="8" w:space="0" w:color="auto"/>
            </w:tcBorders>
            <w:shd w:val="clear" w:color="auto" w:fill="auto"/>
            <w:noWrap/>
            <w:vAlign w:val="center"/>
            <w:hideMark/>
          </w:tcPr>
          <w:p w14:paraId="6E3F2A6E"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4.5</w:t>
            </w:r>
          </w:p>
        </w:tc>
      </w:tr>
      <w:tr w:rsidR="001B7191" w:rsidRPr="00ED000E" w14:paraId="23DF50B1" w14:textId="77777777" w:rsidTr="001B7191">
        <w:trPr>
          <w:trHeight w:val="284"/>
        </w:trPr>
        <w:tc>
          <w:tcPr>
            <w:tcW w:w="1187" w:type="dxa"/>
            <w:vMerge/>
            <w:tcBorders>
              <w:top w:val="single" w:sz="8" w:space="0" w:color="auto"/>
              <w:left w:val="single" w:sz="8" w:space="0" w:color="auto"/>
              <w:bottom w:val="single" w:sz="8" w:space="0" w:color="000000"/>
              <w:right w:val="nil"/>
            </w:tcBorders>
            <w:vAlign w:val="center"/>
            <w:hideMark/>
          </w:tcPr>
          <w:p w14:paraId="58C05190" w14:textId="77777777" w:rsidR="001B7191" w:rsidRPr="00ED000E" w:rsidRDefault="001B7191" w:rsidP="001B7191">
            <w:pPr>
              <w:spacing w:after="0"/>
              <w:rPr>
                <w:rFonts w:ascii="Calibri" w:hAnsi="Calibri" w:cs="Calibri"/>
                <w:color w:val="000000"/>
                <w:sz w:val="22"/>
                <w:szCs w:val="22"/>
                <w:lang w:val="it-IT" w:eastAsia="it-IT"/>
              </w:rPr>
            </w:pPr>
          </w:p>
        </w:tc>
        <w:tc>
          <w:tcPr>
            <w:tcW w:w="1747" w:type="dxa"/>
            <w:tcBorders>
              <w:top w:val="nil"/>
              <w:left w:val="single" w:sz="8" w:space="0" w:color="auto"/>
              <w:bottom w:val="nil"/>
              <w:right w:val="single" w:sz="8" w:space="0" w:color="auto"/>
            </w:tcBorders>
            <w:shd w:val="clear" w:color="auto" w:fill="auto"/>
            <w:noWrap/>
            <w:vAlign w:val="center"/>
            <w:hideMark/>
          </w:tcPr>
          <w:p w14:paraId="6505D515"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400</w:t>
            </w:r>
          </w:p>
        </w:tc>
        <w:tc>
          <w:tcPr>
            <w:tcW w:w="2032" w:type="dxa"/>
            <w:tcBorders>
              <w:top w:val="nil"/>
              <w:left w:val="nil"/>
              <w:bottom w:val="nil"/>
              <w:right w:val="single" w:sz="8" w:space="0" w:color="auto"/>
            </w:tcBorders>
            <w:shd w:val="clear" w:color="auto" w:fill="auto"/>
            <w:noWrap/>
            <w:vAlign w:val="center"/>
            <w:hideMark/>
          </w:tcPr>
          <w:p w14:paraId="2BCC6351"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400</w:t>
            </w:r>
          </w:p>
        </w:tc>
        <w:tc>
          <w:tcPr>
            <w:tcW w:w="884" w:type="dxa"/>
            <w:tcBorders>
              <w:top w:val="nil"/>
              <w:left w:val="nil"/>
              <w:bottom w:val="nil"/>
              <w:right w:val="nil"/>
            </w:tcBorders>
            <w:shd w:val="clear" w:color="auto" w:fill="auto"/>
            <w:noWrap/>
            <w:vAlign w:val="center"/>
            <w:hideMark/>
          </w:tcPr>
          <w:p w14:paraId="5B0AE85A"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120</w:t>
            </w:r>
          </w:p>
        </w:tc>
        <w:tc>
          <w:tcPr>
            <w:tcW w:w="2070" w:type="dxa"/>
            <w:tcBorders>
              <w:top w:val="nil"/>
              <w:left w:val="single" w:sz="8" w:space="0" w:color="auto"/>
              <w:bottom w:val="nil"/>
              <w:right w:val="single" w:sz="8" w:space="0" w:color="auto"/>
            </w:tcBorders>
            <w:shd w:val="clear" w:color="auto" w:fill="auto"/>
            <w:noWrap/>
            <w:vAlign w:val="center"/>
            <w:hideMark/>
          </w:tcPr>
          <w:p w14:paraId="4C809AF0"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2</w:t>
            </w:r>
          </w:p>
        </w:tc>
        <w:tc>
          <w:tcPr>
            <w:tcW w:w="1891" w:type="dxa"/>
            <w:tcBorders>
              <w:top w:val="nil"/>
              <w:left w:val="nil"/>
              <w:bottom w:val="nil"/>
              <w:right w:val="single" w:sz="8" w:space="0" w:color="auto"/>
            </w:tcBorders>
            <w:shd w:val="clear" w:color="auto" w:fill="auto"/>
            <w:noWrap/>
            <w:vAlign w:val="center"/>
            <w:hideMark/>
          </w:tcPr>
          <w:p w14:paraId="7CC4C5A5" w14:textId="3B146753"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NA</w:t>
            </w:r>
          </w:p>
        </w:tc>
      </w:tr>
      <w:tr w:rsidR="001B7191" w:rsidRPr="00ED000E" w14:paraId="608E7EE7" w14:textId="77777777" w:rsidTr="001B7191">
        <w:trPr>
          <w:trHeight w:val="295"/>
        </w:trPr>
        <w:tc>
          <w:tcPr>
            <w:tcW w:w="1187" w:type="dxa"/>
            <w:vMerge/>
            <w:tcBorders>
              <w:top w:val="single" w:sz="8" w:space="0" w:color="auto"/>
              <w:left w:val="single" w:sz="8" w:space="0" w:color="auto"/>
              <w:bottom w:val="single" w:sz="8" w:space="0" w:color="000000"/>
              <w:right w:val="nil"/>
            </w:tcBorders>
            <w:vAlign w:val="center"/>
            <w:hideMark/>
          </w:tcPr>
          <w:p w14:paraId="4927529E" w14:textId="77777777" w:rsidR="001B7191" w:rsidRPr="00ED000E" w:rsidRDefault="001B7191" w:rsidP="001B7191">
            <w:pPr>
              <w:spacing w:after="0"/>
              <w:rPr>
                <w:rFonts w:ascii="Calibri" w:hAnsi="Calibri" w:cs="Calibri"/>
                <w:color w:val="000000"/>
                <w:sz w:val="22"/>
                <w:szCs w:val="22"/>
                <w:lang w:val="it-IT" w:eastAsia="it-IT"/>
              </w:rPr>
            </w:pPr>
          </w:p>
        </w:tc>
        <w:tc>
          <w:tcPr>
            <w:tcW w:w="1747" w:type="dxa"/>
            <w:tcBorders>
              <w:top w:val="nil"/>
              <w:left w:val="single" w:sz="8" w:space="0" w:color="auto"/>
              <w:bottom w:val="single" w:sz="8" w:space="0" w:color="auto"/>
              <w:right w:val="single" w:sz="8" w:space="0" w:color="auto"/>
            </w:tcBorders>
            <w:shd w:val="clear" w:color="auto" w:fill="auto"/>
            <w:noWrap/>
            <w:vAlign w:val="bottom"/>
            <w:hideMark/>
          </w:tcPr>
          <w:p w14:paraId="049959B5"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400+400</w:t>
            </w:r>
          </w:p>
        </w:tc>
        <w:tc>
          <w:tcPr>
            <w:tcW w:w="2032" w:type="dxa"/>
            <w:tcBorders>
              <w:top w:val="nil"/>
              <w:left w:val="nil"/>
              <w:bottom w:val="single" w:sz="8" w:space="0" w:color="auto"/>
              <w:right w:val="single" w:sz="8" w:space="0" w:color="auto"/>
            </w:tcBorders>
            <w:shd w:val="clear" w:color="auto" w:fill="auto"/>
            <w:noWrap/>
            <w:vAlign w:val="bottom"/>
            <w:hideMark/>
          </w:tcPr>
          <w:p w14:paraId="0A133439"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800</w:t>
            </w:r>
          </w:p>
        </w:tc>
        <w:tc>
          <w:tcPr>
            <w:tcW w:w="884" w:type="dxa"/>
            <w:tcBorders>
              <w:top w:val="nil"/>
              <w:left w:val="nil"/>
              <w:bottom w:val="single" w:sz="8" w:space="0" w:color="auto"/>
              <w:right w:val="nil"/>
            </w:tcBorders>
            <w:shd w:val="clear" w:color="auto" w:fill="auto"/>
            <w:noWrap/>
            <w:vAlign w:val="bottom"/>
            <w:hideMark/>
          </w:tcPr>
          <w:p w14:paraId="1DC71C6A"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120</w:t>
            </w:r>
          </w:p>
        </w:tc>
        <w:tc>
          <w:tcPr>
            <w:tcW w:w="2070" w:type="dxa"/>
            <w:tcBorders>
              <w:top w:val="nil"/>
              <w:left w:val="single" w:sz="8" w:space="0" w:color="auto"/>
              <w:bottom w:val="single" w:sz="8" w:space="0" w:color="auto"/>
              <w:right w:val="single" w:sz="8" w:space="0" w:color="auto"/>
            </w:tcBorders>
            <w:shd w:val="clear" w:color="auto" w:fill="auto"/>
            <w:noWrap/>
            <w:vAlign w:val="bottom"/>
            <w:hideMark/>
          </w:tcPr>
          <w:p w14:paraId="7A99E0B3"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3.5</w:t>
            </w:r>
          </w:p>
        </w:tc>
        <w:tc>
          <w:tcPr>
            <w:tcW w:w="1891" w:type="dxa"/>
            <w:tcBorders>
              <w:top w:val="nil"/>
              <w:left w:val="nil"/>
              <w:bottom w:val="single" w:sz="8" w:space="0" w:color="auto"/>
              <w:right w:val="single" w:sz="8" w:space="0" w:color="auto"/>
            </w:tcBorders>
            <w:shd w:val="clear" w:color="auto" w:fill="auto"/>
            <w:noWrap/>
            <w:vAlign w:val="bottom"/>
            <w:hideMark/>
          </w:tcPr>
          <w:p w14:paraId="7C4E3D31" w14:textId="77777777" w:rsidR="001B7191" w:rsidRPr="00ED000E" w:rsidRDefault="001B7191" w:rsidP="001B7191">
            <w:pPr>
              <w:spacing w:after="0"/>
              <w:jc w:val="center"/>
              <w:rPr>
                <w:rFonts w:ascii="Calibri" w:hAnsi="Calibri" w:cs="Calibri"/>
                <w:color w:val="000000"/>
                <w:sz w:val="22"/>
                <w:szCs w:val="22"/>
                <w:lang w:val="it-IT" w:eastAsia="it-IT"/>
              </w:rPr>
            </w:pPr>
            <w:r w:rsidRPr="00ED000E">
              <w:rPr>
                <w:rFonts w:ascii="Calibri" w:hAnsi="Calibri" w:cs="Calibri"/>
                <w:color w:val="000000"/>
                <w:sz w:val="22"/>
                <w:szCs w:val="22"/>
                <w:lang w:val="it-IT" w:eastAsia="it-IT"/>
              </w:rPr>
              <w:t>4.5</w:t>
            </w:r>
          </w:p>
        </w:tc>
      </w:tr>
    </w:tbl>
    <w:p w14:paraId="00A1108A" w14:textId="2BBEC135" w:rsidR="00565A4E" w:rsidRPr="00ED000E" w:rsidRDefault="00565A4E" w:rsidP="0091110E">
      <w:pPr>
        <w:jc w:val="both"/>
        <w:rPr>
          <w:color w:val="000000"/>
        </w:rPr>
      </w:pPr>
    </w:p>
    <w:p w14:paraId="2384FAD2" w14:textId="7EDE19DE" w:rsidR="00E322D7" w:rsidRPr="00ED000E" w:rsidRDefault="00E322D7" w:rsidP="00E322D7">
      <w:pPr>
        <w:jc w:val="both"/>
        <w:rPr>
          <w:b/>
          <w:i/>
          <w:color w:val="000000"/>
        </w:rPr>
      </w:pPr>
      <w:r w:rsidRPr="00ED000E">
        <w:rPr>
          <w:b/>
          <w:i/>
          <w:color w:val="000000"/>
        </w:rPr>
        <w:t xml:space="preserve">Observation: for band n258 the amount of power back-off needed to meet the -8dBm/200MHz requirement to protect 23.6-24GHz passive band is up to </w:t>
      </w:r>
      <w:r w:rsidR="001B7191" w:rsidRPr="00ED000E">
        <w:rPr>
          <w:b/>
          <w:i/>
          <w:color w:val="000000"/>
        </w:rPr>
        <w:t>4</w:t>
      </w:r>
      <w:r w:rsidRPr="00ED000E">
        <w:rPr>
          <w:b/>
          <w:i/>
          <w:color w:val="000000"/>
        </w:rPr>
        <w:t>.5dB. For band n257 and band n261 no power back-off is needed to meet the same requirement.</w:t>
      </w:r>
    </w:p>
    <w:p w14:paraId="53404A85" w14:textId="4EA32936" w:rsidR="007F2705" w:rsidRPr="00ED000E" w:rsidRDefault="00B80E63" w:rsidP="00B80E63">
      <w:pPr>
        <w:pStyle w:val="Heading1"/>
        <w:numPr>
          <w:ilvl w:val="0"/>
          <w:numId w:val="0"/>
        </w:numPr>
        <w:tabs>
          <w:tab w:val="num" w:pos="432"/>
        </w:tabs>
        <w:ind w:left="432" w:hanging="432"/>
        <w:jc w:val="both"/>
        <w:rPr>
          <w:lang w:val="en-US"/>
        </w:rPr>
      </w:pPr>
      <w:r w:rsidRPr="00ED000E">
        <w:rPr>
          <w:lang w:val="en-US"/>
        </w:rPr>
        <w:t>Conclusions</w:t>
      </w:r>
    </w:p>
    <w:p w14:paraId="7218E67A" w14:textId="2DE9B703" w:rsidR="003C658D" w:rsidRPr="00ED000E" w:rsidRDefault="0091110E" w:rsidP="0091110E">
      <w:pPr>
        <w:rPr>
          <w:lang w:val="en-US"/>
        </w:rPr>
      </w:pPr>
      <w:r w:rsidRPr="00ED000E">
        <w:rPr>
          <w:lang w:val="en-US"/>
        </w:rPr>
        <w:t>In this contribution, we analy</w:t>
      </w:r>
      <w:r w:rsidR="003C658D" w:rsidRPr="00ED000E">
        <w:rPr>
          <w:lang w:val="en-US"/>
        </w:rPr>
        <w:t>ze the additional requirements</w:t>
      </w:r>
      <w:r w:rsidRPr="00ED000E">
        <w:rPr>
          <w:lang w:val="en-US"/>
        </w:rPr>
        <w:t xml:space="preserve"> </w:t>
      </w:r>
      <w:r w:rsidR="003C658D" w:rsidRPr="00ED000E">
        <w:rPr>
          <w:lang w:val="en-US"/>
        </w:rPr>
        <w:t>of -</w:t>
      </w:r>
      <w:r w:rsidR="00E322D7" w:rsidRPr="00ED000E">
        <w:rPr>
          <w:lang w:val="en-US"/>
        </w:rPr>
        <w:t>8</w:t>
      </w:r>
      <w:r w:rsidR="003C658D" w:rsidRPr="00ED000E">
        <w:rPr>
          <w:lang w:val="en-US"/>
        </w:rPr>
        <w:t>dBm/200MHz needed to protect passive bands. Based on the outcome of our analysis, we made the following</w:t>
      </w:r>
      <w:r w:rsidR="00114FE8" w:rsidRPr="00ED000E">
        <w:rPr>
          <w:lang w:val="en-US"/>
        </w:rPr>
        <w:t xml:space="preserve"> </w:t>
      </w:r>
      <w:r w:rsidR="00E322D7" w:rsidRPr="00ED000E">
        <w:rPr>
          <w:lang w:val="en-US"/>
        </w:rPr>
        <w:t>observation</w:t>
      </w:r>
      <w:r w:rsidR="003C658D" w:rsidRPr="00ED000E">
        <w:rPr>
          <w:lang w:val="en-US"/>
        </w:rPr>
        <w:t>:</w:t>
      </w:r>
    </w:p>
    <w:p w14:paraId="082B3B2F" w14:textId="79FA5E42" w:rsidR="00E322D7" w:rsidRPr="00ED000E" w:rsidRDefault="00456EC6" w:rsidP="00E322D7">
      <w:pPr>
        <w:jc w:val="both"/>
        <w:rPr>
          <w:color w:val="000000"/>
        </w:rPr>
      </w:pPr>
      <w:r>
        <w:rPr>
          <w:b/>
          <w:i/>
          <w:color w:val="000000"/>
        </w:rPr>
        <w:t xml:space="preserve">Observation: </w:t>
      </w:r>
      <w:r w:rsidR="00E322D7" w:rsidRPr="00ED000E">
        <w:rPr>
          <w:b/>
          <w:i/>
          <w:color w:val="000000"/>
        </w:rPr>
        <w:t xml:space="preserve">for band n258 the amount of power back-off needed to meet the -8dBm/200MHz requirement to protect 23.6-24GHz passive band is up to </w:t>
      </w:r>
      <w:r w:rsidR="001B7191" w:rsidRPr="00ED000E">
        <w:rPr>
          <w:b/>
          <w:i/>
          <w:color w:val="000000"/>
        </w:rPr>
        <w:t>4</w:t>
      </w:r>
      <w:r w:rsidR="00E322D7" w:rsidRPr="00ED000E">
        <w:rPr>
          <w:b/>
          <w:i/>
          <w:color w:val="000000"/>
        </w:rPr>
        <w:t>.5dB. For band n257 and band n261 no power back-off is needed to meet the same requirement.</w:t>
      </w:r>
    </w:p>
    <w:p w14:paraId="716D1A61" w14:textId="416C42AC" w:rsidR="00E322D7" w:rsidRPr="00ED000E" w:rsidRDefault="00E322D7" w:rsidP="00ED000E">
      <w:pPr>
        <w:jc w:val="both"/>
        <w:rPr>
          <w:color w:val="000000"/>
        </w:rPr>
      </w:pPr>
      <w:r w:rsidRPr="00ED000E">
        <w:rPr>
          <w:color w:val="000000"/>
        </w:rPr>
        <w:t>This analysis will be further refined once a final decision about the requirement is made in CEPT PT1.</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0E95D0D1" w14:textId="50D0FAAD" w:rsidR="007E700B" w:rsidRDefault="007E700B" w:rsidP="007E700B">
      <w:pPr>
        <w:pStyle w:val="ListParagraph"/>
        <w:numPr>
          <w:ilvl w:val="0"/>
          <w:numId w:val="2"/>
        </w:numPr>
        <w:jc w:val="both"/>
        <w:rPr>
          <w:lang w:val="en-US"/>
        </w:rPr>
      </w:pPr>
      <w:bookmarkStart w:id="6" w:name="_Ref510622279"/>
      <w:bookmarkStart w:id="7" w:name="_Ref498001918"/>
      <w:bookmarkStart w:id="8" w:name="_Ref489522242"/>
      <w:bookmarkStart w:id="9" w:name="_Ref489521993"/>
      <w:bookmarkStart w:id="10" w:name="_Ref481663184"/>
      <w:bookmarkStart w:id="11" w:name="_Ref473813022"/>
      <w:bookmarkStart w:id="12" w:name="_Ref465947019"/>
      <w:r w:rsidRPr="007E700B">
        <w:rPr>
          <w:lang w:val="en-US"/>
        </w:rPr>
        <w:t>R4-1714048</w:t>
      </w:r>
      <w:r>
        <w:rPr>
          <w:lang w:val="en-US"/>
        </w:rPr>
        <w:t>, “</w:t>
      </w:r>
      <w:r w:rsidRPr="007E700B">
        <w:rPr>
          <w:lang w:val="en-US"/>
        </w:rPr>
        <w:t>On the additional spurious emission limit to protect passive services</w:t>
      </w:r>
      <w:r>
        <w:rPr>
          <w:lang w:val="en-US"/>
        </w:rPr>
        <w:t>”.</w:t>
      </w:r>
      <w:bookmarkEnd w:id="6"/>
    </w:p>
    <w:p w14:paraId="3FCB3CAC" w14:textId="712AA6CA" w:rsidR="007E700B" w:rsidRPr="007E700B" w:rsidRDefault="007E700B" w:rsidP="008016F6">
      <w:pPr>
        <w:pStyle w:val="ListParagraph"/>
        <w:numPr>
          <w:ilvl w:val="0"/>
          <w:numId w:val="2"/>
        </w:numPr>
        <w:jc w:val="both"/>
        <w:rPr>
          <w:lang w:val="en-US"/>
        </w:rPr>
      </w:pPr>
      <w:bookmarkStart w:id="13" w:name="_Ref510624143"/>
      <w:bookmarkStart w:id="14" w:name="_Ref498435235"/>
      <w:bookmarkStart w:id="15" w:name="_Ref498435364"/>
      <w:bookmarkEnd w:id="7"/>
      <w:r w:rsidRPr="007E700B">
        <w:rPr>
          <w:lang w:val="en-US"/>
        </w:rPr>
        <w:t>Draft ECC Decision on “</w:t>
      </w:r>
      <w:proofErr w:type="spellStart"/>
      <w:r w:rsidRPr="007E700B">
        <w:rPr>
          <w:lang w:val="en-US"/>
        </w:rPr>
        <w:t>Harmonised</w:t>
      </w:r>
      <w:proofErr w:type="spellEnd"/>
      <w:r w:rsidRPr="007E700B">
        <w:rPr>
          <w:lang w:val="en-US"/>
        </w:rPr>
        <w:t xml:space="preserve"> technical conditions for Mobile/Fixed Communications Networks (MFCN) in the band</w:t>
      </w:r>
      <w:bookmarkEnd w:id="13"/>
      <w:r>
        <w:rPr>
          <w:lang w:val="en-US"/>
        </w:rPr>
        <w:t xml:space="preserve"> </w:t>
      </w:r>
      <w:r w:rsidRPr="007E700B">
        <w:rPr>
          <w:lang w:val="en-US"/>
        </w:rPr>
        <w:t>24.25-27.5 GHz</w:t>
      </w:r>
      <w:r>
        <w:rPr>
          <w:lang w:val="en-US"/>
        </w:rPr>
        <w:t>”.</w:t>
      </w:r>
    </w:p>
    <w:p w14:paraId="062756DD" w14:textId="0DD85896" w:rsidR="00E74D3F" w:rsidRPr="00545241" w:rsidRDefault="000100DE" w:rsidP="00545241">
      <w:pPr>
        <w:pStyle w:val="ListParagraph"/>
        <w:numPr>
          <w:ilvl w:val="0"/>
          <w:numId w:val="2"/>
        </w:numPr>
        <w:jc w:val="both"/>
        <w:rPr>
          <w:lang w:val="en-US"/>
        </w:rPr>
      </w:pPr>
      <w:r w:rsidRPr="00545241">
        <w:rPr>
          <w:lang w:val="en-US"/>
        </w:rPr>
        <w:t>R4-1710084, "LS on Unwanted emissions of IMT-2020" to ITU-R WP5D</w:t>
      </w:r>
      <w:bookmarkEnd w:id="14"/>
      <w:r w:rsidR="002E6767">
        <w:rPr>
          <w:lang w:val="en-US"/>
        </w:rPr>
        <w:t>.</w:t>
      </w:r>
      <w:bookmarkEnd w:id="15"/>
    </w:p>
    <w:p w14:paraId="5335267E" w14:textId="142E96C2" w:rsidR="00E74D3F" w:rsidRPr="00545241" w:rsidRDefault="000100DE" w:rsidP="00545241">
      <w:pPr>
        <w:pStyle w:val="ListParagraph"/>
        <w:numPr>
          <w:ilvl w:val="0"/>
          <w:numId w:val="2"/>
        </w:numPr>
        <w:jc w:val="both"/>
        <w:rPr>
          <w:lang w:val="en-US"/>
        </w:rPr>
      </w:pPr>
      <w:bookmarkStart w:id="16" w:name="_Ref498435369"/>
      <w:r w:rsidRPr="00545241">
        <w:rPr>
          <w:lang w:val="en-US"/>
        </w:rPr>
        <w:t xml:space="preserve">R4-1707701, “Feasibility of improved spurious emissions in NR </w:t>
      </w:r>
      <w:proofErr w:type="spellStart"/>
      <w:r w:rsidRPr="00545241">
        <w:rPr>
          <w:lang w:val="en-US"/>
        </w:rPr>
        <w:t>mmWave</w:t>
      </w:r>
      <w:proofErr w:type="spellEnd"/>
      <w:r w:rsidRPr="00545241">
        <w:rPr>
          <w:lang w:val="en-US"/>
        </w:rPr>
        <w:t xml:space="preserve"> UE”, Skyworks Solutions Inc.</w:t>
      </w:r>
      <w:bookmarkEnd w:id="16"/>
    </w:p>
    <w:p w14:paraId="39128485" w14:textId="42415F25" w:rsidR="00E74D3F" w:rsidRPr="00545241" w:rsidRDefault="000100DE" w:rsidP="00545241">
      <w:pPr>
        <w:pStyle w:val="ListParagraph"/>
        <w:numPr>
          <w:ilvl w:val="0"/>
          <w:numId w:val="2"/>
        </w:numPr>
        <w:jc w:val="both"/>
        <w:rPr>
          <w:lang w:val="en-US"/>
        </w:rPr>
      </w:pPr>
      <w:bookmarkStart w:id="17" w:name="_Ref498435371"/>
      <w:r w:rsidRPr="00545241">
        <w:rPr>
          <w:lang w:val="en-US"/>
        </w:rPr>
        <w:t>R4-1708125, “On spurious emission limits for mm-wave bands”, Ericsson.</w:t>
      </w:r>
      <w:bookmarkEnd w:id="17"/>
    </w:p>
    <w:p w14:paraId="1672A681" w14:textId="0BEA96A0" w:rsidR="00E74D3F" w:rsidRPr="00545241" w:rsidRDefault="000100DE" w:rsidP="00545241">
      <w:pPr>
        <w:pStyle w:val="ListParagraph"/>
        <w:numPr>
          <w:ilvl w:val="0"/>
          <w:numId w:val="2"/>
        </w:numPr>
        <w:jc w:val="both"/>
        <w:rPr>
          <w:lang w:val="en-US"/>
        </w:rPr>
      </w:pPr>
      <w:bookmarkStart w:id="18" w:name="_Ref498435373"/>
      <w:r w:rsidRPr="00545241">
        <w:rPr>
          <w:lang w:val="en-US"/>
        </w:rPr>
        <w:t xml:space="preserve">R4-1708450, “General observations on UE emissions in </w:t>
      </w:r>
      <w:proofErr w:type="spellStart"/>
      <w:r w:rsidRPr="00545241">
        <w:rPr>
          <w:lang w:val="en-US"/>
        </w:rPr>
        <w:t>mmW</w:t>
      </w:r>
      <w:proofErr w:type="spellEnd"/>
      <w:r w:rsidRPr="00545241">
        <w:rPr>
          <w:lang w:val="en-US"/>
        </w:rPr>
        <w:t>”, Qualcomm Incorporated.</w:t>
      </w:r>
      <w:bookmarkEnd w:id="18"/>
    </w:p>
    <w:p w14:paraId="476A6194" w14:textId="2E6C5DB5" w:rsidR="00E74D3F" w:rsidRPr="00545241" w:rsidRDefault="000100DE" w:rsidP="00545241">
      <w:pPr>
        <w:pStyle w:val="ListParagraph"/>
        <w:numPr>
          <w:ilvl w:val="0"/>
          <w:numId w:val="2"/>
        </w:numPr>
        <w:jc w:val="both"/>
        <w:rPr>
          <w:lang w:val="en-US"/>
        </w:rPr>
      </w:pPr>
      <w:bookmarkStart w:id="19" w:name="_Ref498435374"/>
      <w:r w:rsidRPr="00545241">
        <w:rPr>
          <w:lang w:val="en-US"/>
        </w:rPr>
        <w:t>R4-1709330, “NR UE above 24GHz Spurious Emissions and Protected Bands”, Skyworks Solutions Inc.</w:t>
      </w:r>
      <w:bookmarkEnd w:id="19"/>
    </w:p>
    <w:p w14:paraId="053D7F26" w14:textId="37743B42" w:rsidR="00545241" w:rsidRDefault="000100DE" w:rsidP="00651FAC">
      <w:pPr>
        <w:pStyle w:val="ListParagraph"/>
        <w:numPr>
          <w:ilvl w:val="0"/>
          <w:numId w:val="2"/>
        </w:numPr>
        <w:jc w:val="both"/>
        <w:rPr>
          <w:lang w:val="en-US"/>
        </w:rPr>
      </w:pPr>
      <w:r w:rsidRPr="009D3184">
        <w:rPr>
          <w:lang w:val="en-US"/>
        </w:rPr>
        <w:t xml:space="preserve">R4-1709408, “On spurious emissions requirement for </w:t>
      </w:r>
      <w:proofErr w:type="spellStart"/>
      <w:r w:rsidRPr="009D3184">
        <w:rPr>
          <w:lang w:val="en-US"/>
        </w:rPr>
        <w:t>mmWave</w:t>
      </w:r>
      <w:proofErr w:type="spellEnd"/>
      <w:r w:rsidRPr="009D3184">
        <w:rPr>
          <w:lang w:val="en-US"/>
        </w:rPr>
        <w:t xml:space="preserve"> NR”, Intel Corporation.</w:t>
      </w:r>
      <w:bookmarkEnd w:id="8"/>
      <w:bookmarkEnd w:id="9"/>
      <w:bookmarkEnd w:id="10"/>
      <w:bookmarkEnd w:id="11"/>
      <w:bookmarkEnd w:id="12"/>
    </w:p>
    <w:p w14:paraId="0112143E" w14:textId="34F2F3EE" w:rsidR="009D3184" w:rsidRDefault="00A40B8E" w:rsidP="00A40B8E">
      <w:pPr>
        <w:pStyle w:val="ListParagraph"/>
        <w:numPr>
          <w:ilvl w:val="0"/>
          <w:numId w:val="2"/>
        </w:numPr>
        <w:jc w:val="both"/>
        <w:rPr>
          <w:lang w:val="en-US"/>
        </w:rPr>
      </w:pPr>
      <w:bookmarkStart w:id="20" w:name="_Ref510629004"/>
      <w:r>
        <w:rPr>
          <w:lang w:val="en-US"/>
        </w:rPr>
        <w:t>R4-1803263, “</w:t>
      </w:r>
      <w:r w:rsidRPr="00A40B8E">
        <w:rPr>
          <w:lang w:val="en-US"/>
        </w:rPr>
        <w:t>WF on MPR for FR2</w:t>
      </w:r>
      <w:r>
        <w:rPr>
          <w:lang w:val="en-US"/>
        </w:rPr>
        <w:t xml:space="preserve">”, Intel, </w:t>
      </w:r>
      <w:r w:rsidRPr="00545241">
        <w:rPr>
          <w:lang w:val="en-US"/>
        </w:rPr>
        <w:t>Qualcomm Incorporated</w:t>
      </w:r>
      <w:r>
        <w:rPr>
          <w:lang w:val="en-US"/>
        </w:rPr>
        <w:t>.</w:t>
      </w:r>
      <w:bookmarkEnd w:id="20"/>
    </w:p>
    <w:p w14:paraId="6E784768" w14:textId="76BC1466" w:rsidR="009D3184" w:rsidRPr="00A40B8E" w:rsidRDefault="00456EC6" w:rsidP="00456EC6">
      <w:pPr>
        <w:pStyle w:val="ListParagraph"/>
        <w:numPr>
          <w:ilvl w:val="0"/>
          <w:numId w:val="2"/>
        </w:numPr>
        <w:jc w:val="both"/>
        <w:rPr>
          <w:lang w:val="it-IT"/>
        </w:rPr>
      </w:pPr>
      <w:bookmarkStart w:id="21" w:name="_Ref510629471"/>
      <w:r w:rsidRPr="00456EC6">
        <w:rPr>
          <w:lang w:val="it-IT"/>
        </w:rPr>
        <w:t>R4-1805181</w:t>
      </w:r>
      <w:r w:rsidR="00A40B8E" w:rsidRPr="00A40B8E">
        <w:rPr>
          <w:lang w:val="it-IT"/>
        </w:rPr>
        <w:t>, “</w:t>
      </w:r>
      <w:r w:rsidR="009D3184" w:rsidRPr="00A40B8E">
        <w:rPr>
          <w:lang w:val="it-IT"/>
        </w:rPr>
        <w:t>FR2 CA MPR</w:t>
      </w:r>
      <w:r w:rsidR="00A40B8E" w:rsidRPr="00A40B8E">
        <w:rPr>
          <w:lang w:val="it-IT"/>
        </w:rPr>
        <w:t>”</w:t>
      </w:r>
      <w:r w:rsidR="00A40B8E">
        <w:rPr>
          <w:lang w:val="it-IT"/>
        </w:rPr>
        <w:t xml:space="preserve">, </w:t>
      </w:r>
      <w:r w:rsidR="00A40B8E" w:rsidRPr="00A40B8E">
        <w:rPr>
          <w:lang w:val="it-IT"/>
        </w:rPr>
        <w:t>Qualcomm Incorporated</w:t>
      </w:r>
      <w:r w:rsidR="00A40B8E">
        <w:rPr>
          <w:lang w:val="it-IT"/>
        </w:rPr>
        <w:t>.</w:t>
      </w:r>
      <w:bookmarkEnd w:id="21"/>
    </w:p>
    <w:sectPr w:rsidR="009D3184" w:rsidRPr="00A40B8E"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4384A" w14:textId="77777777" w:rsidR="00F54792" w:rsidRDefault="00F54792">
      <w:r>
        <w:separator/>
      </w:r>
    </w:p>
  </w:endnote>
  <w:endnote w:type="continuationSeparator" w:id="0">
    <w:p w14:paraId="25B1BE73" w14:textId="77777777" w:rsidR="00F54792" w:rsidRDefault="00F5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22C55" w14:textId="77777777" w:rsidR="00F54792" w:rsidRDefault="00F54792">
      <w:r>
        <w:separator/>
      </w:r>
    </w:p>
  </w:footnote>
  <w:footnote w:type="continuationSeparator" w:id="0">
    <w:p w14:paraId="5B7ABD34" w14:textId="77777777" w:rsidR="00F54792" w:rsidRDefault="00F54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0"/>
  </w:num>
  <w:num w:numId="3">
    <w:abstractNumId w:val="34"/>
  </w:num>
  <w:num w:numId="4">
    <w:abstractNumId w:val="39"/>
  </w:num>
  <w:num w:numId="5">
    <w:abstractNumId w:val="28"/>
  </w:num>
  <w:num w:numId="6">
    <w:abstractNumId w:val="16"/>
  </w:num>
  <w:num w:numId="7">
    <w:abstractNumId w:val="8"/>
  </w:num>
  <w:num w:numId="8">
    <w:abstractNumId w:val="32"/>
  </w:num>
  <w:num w:numId="9">
    <w:abstractNumId w:val="18"/>
  </w:num>
  <w:num w:numId="10">
    <w:abstractNumId w:val="25"/>
  </w:num>
  <w:num w:numId="11">
    <w:abstractNumId w:val="40"/>
  </w:num>
  <w:num w:numId="12">
    <w:abstractNumId w:val="7"/>
  </w:num>
  <w:num w:numId="13">
    <w:abstractNumId w:val="6"/>
  </w:num>
  <w:num w:numId="14">
    <w:abstractNumId w:val="20"/>
  </w:num>
  <w:num w:numId="15">
    <w:abstractNumId w:val="24"/>
  </w:num>
  <w:num w:numId="16">
    <w:abstractNumId w:val="13"/>
  </w:num>
  <w:num w:numId="17">
    <w:abstractNumId w:val="37"/>
  </w:num>
  <w:num w:numId="18">
    <w:abstractNumId w:val="17"/>
  </w:num>
  <w:num w:numId="19">
    <w:abstractNumId w:val="2"/>
  </w:num>
  <w:num w:numId="20">
    <w:abstractNumId w:val="12"/>
  </w:num>
  <w:num w:numId="21">
    <w:abstractNumId w:val="14"/>
  </w:num>
  <w:num w:numId="22">
    <w:abstractNumId w:val="3"/>
  </w:num>
  <w:num w:numId="23">
    <w:abstractNumId w:val="11"/>
  </w:num>
  <w:num w:numId="24">
    <w:abstractNumId w:val="15"/>
  </w:num>
  <w:num w:numId="25">
    <w:abstractNumId w:val="33"/>
  </w:num>
  <w:num w:numId="26">
    <w:abstractNumId w:val="19"/>
  </w:num>
  <w:num w:numId="27">
    <w:abstractNumId w:val="36"/>
  </w:num>
  <w:num w:numId="28">
    <w:abstractNumId w:val="29"/>
  </w:num>
  <w:num w:numId="29">
    <w:abstractNumId w:val="5"/>
  </w:num>
  <w:num w:numId="30">
    <w:abstractNumId w:val="27"/>
  </w:num>
  <w:num w:numId="31">
    <w:abstractNumId w:val="10"/>
  </w:num>
  <w:num w:numId="32">
    <w:abstractNumId w:val="26"/>
  </w:num>
  <w:num w:numId="33">
    <w:abstractNumId w:val="31"/>
  </w:num>
  <w:num w:numId="34">
    <w:abstractNumId w:val="9"/>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1"/>
  </w:num>
  <w:num w:numId="38">
    <w:abstractNumId w:val="35"/>
  </w:num>
  <w:num w:numId="39">
    <w:abstractNumId w:val="1"/>
  </w:num>
  <w:num w:numId="40">
    <w:abstractNumId w:val="4"/>
  </w:num>
  <w:num w:numId="41">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0B8E"/>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0E63"/>
    <w:rsid w:val="00B81794"/>
    <w:rsid w:val="00B817FD"/>
    <w:rsid w:val="00B8268C"/>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41"/>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CAE3895-43EC-497C-9ED2-5A39C9CC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5</cp:revision>
  <cp:lastPrinted>2018-04-06T13:43:00Z</cp:lastPrinted>
  <dcterms:created xsi:type="dcterms:W3CDTF">2018-04-06T16:37:00Z</dcterms:created>
  <dcterms:modified xsi:type="dcterms:W3CDTF">2018-04-06T16:38:00Z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